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77" w:rsidRPr="00C444DA" w:rsidRDefault="00253C77" w:rsidP="00AC3EDC">
      <w:pPr>
        <w:jc w:val="center"/>
        <w:rPr>
          <w:b/>
          <w:bCs/>
          <w:sz w:val="28"/>
          <w:szCs w:val="28"/>
          <w:lang w:val="tr-TR"/>
        </w:rPr>
      </w:pPr>
      <w:r w:rsidRPr="00C444DA">
        <w:rPr>
          <w:b/>
          <w:bCs/>
          <w:sz w:val="28"/>
          <w:szCs w:val="28"/>
          <w:lang w:val="tr-TR"/>
        </w:rPr>
        <w:t xml:space="preserve">FERROSEN İÇEREN </w:t>
      </w:r>
      <w:r>
        <w:rPr>
          <w:b/>
          <w:bCs/>
          <w:sz w:val="28"/>
          <w:szCs w:val="28"/>
          <w:lang w:val="tr-TR"/>
        </w:rPr>
        <w:t xml:space="preserve">YENİ BİR </w:t>
      </w:r>
      <w:r w:rsidRPr="00C444DA">
        <w:rPr>
          <w:b/>
          <w:bCs/>
          <w:sz w:val="28"/>
          <w:szCs w:val="28"/>
          <w:lang w:val="tr-TR"/>
        </w:rPr>
        <w:t xml:space="preserve">TİYOFEN </w:t>
      </w:r>
      <w:r>
        <w:rPr>
          <w:b/>
          <w:bCs/>
          <w:sz w:val="28"/>
          <w:szCs w:val="28"/>
          <w:lang w:val="tr-TR"/>
        </w:rPr>
        <w:t>BİLEŞİĞİNİN</w:t>
      </w:r>
      <w:r w:rsidRPr="00C444DA">
        <w:rPr>
          <w:b/>
          <w:bCs/>
          <w:sz w:val="28"/>
          <w:szCs w:val="28"/>
          <w:lang w:val="tr-TR"/>
        </w:rPr>
        <w:t xml:space="preserve"> SENTEZİ VE ANYON SENSÖRÜ UYGULAMASI</w:t>
      </w:r>
    </w:p>
    <w:p w:rsidR="00253C77" w:rsidRPr="00C444DA" w:rsidRDefault="00253C77" w:rsidP="00903160">
      <w:pPr>
        <w:spacing w:line="360" w:lineRule="auto"/>
        <w:jc w:val="center"/>
        <w:rPr>
          <w:b/>
          <w:bCs/>
          <w:lang w:val="tr-TR"/>
        </w:rPr>
      </w:pPr>
    </w:p>
    <w:p w:rsidR="00253C77" w:rsidRPr="004F72C1" w:rsidRDefault="00253C77" w:rsidP="00AC3EDC">
      <w:pPr>
        <w:autoSpaceDE w:val="0"/>
        <w:autoSpaceDN w:val="0"/>
        <w:adjustRightInd w:val="0"/>
        <w:ind w:firstLine="567"/>
        <w:rPr>
          <w:color w:val="231F20"/>
          <w:lang w:val="tr-TR"/>
        </w:rPr>
      </w:pPr>
      <w:r w:rsidRPr="00703054">
        <w:rPr>
          <w:color w:val="231F20"/>
          <w:u w:val="single"/>
          <w:lang w:val="tr-TR"/>
        </w:rPr>
        <w:t xml:space="preserve">Osman </w:t>
      </w:r>
      <w:proofErr w:type="spellStart"/>
      <w:r w:rsidRPr="00703054">
        <w:rPr>
          <w:color w:val="231F20"/>
          <w:u w:val="single"/>
          <w:lang w:val="tr-TR"/>
        </w:rPr>
        <w:t>Karagöllü</w:t>
      </w:r>
      <w:r w:rsidRPr="00703054">
        <w:rPr>
          <w:color w:val="231F20"/>
          <w:u w:val="single"/>
          <w:vertAlign w:val="superscript"/>
          <w:lang w:val="tr-TR"/>
        </w:rPr>
        <w:t>a</w:t>
      </w:r>
      <w:proofErr w:type="spellEnd"/>
      <w:r w:rsidRPr="004F72C1">
        <w:rPr>
          <w:color w:val="231F20"/>
          <w:lang w:val="tr-TR"/>
        </w:rPr>
        <w:t xml:space="preserve">, </w:t>
      </w:r>
      <w:r w:rsidRPr="006C768A">
        <w:rPr>
          <w:color w:val="231F20"/>
          <w:lang w:val="tr-TR"/>
        </w:rPr>
        <w:t xml:space="preserve">Fethiye </w:t>
      </w:r>
      <w:proofErr w:type="spellStart"/>
      <w:r w:rsidRPr="006C768A">
        <w:rPr>
          <w:color w:val="231F20"/>
          <w:lang w:val="tr-TR"/>
        </w:rPr>
        <w:t>Göde</w:t>
      </w:r>
      <w:r w:rsidRPr="006C768A">
        <w:rPr>
          <w:color w:val="231F20"/>
          <w:vertAlign w:val="superscript"/>
          <w:lang w:val="tr-TR"/>
        </w:rPr>
        <w:t>a</w:t>
      </w:r>
      <w:proofErr w:type="spellEnd"/>
      <w:r w:rsidRPr="004F72C1">
        <w:rPr>
          <w:color w:val="231F20"/>
          <w:lang w:val="tr-TR"/>
        </w:rPr>
        <w:t xml:space="preserve">, Büşra </w:t>
      </w:r>
      <w:proofErr w:type="spellStart"/>
      <w:r w:rsidRPr="004F72C1">
        <w:rPr>
          <w:color w:val="231F20"/>
          <w:lang w:val="tr-TR"/>
        </w:rPr>
        <w:t>Şengez</w:t>
      </w:r>
      <w:r w:rsidRPr="004F72C1">
        <w:rPr>
          <w:color w:val="231F20"/>
          <w:vertAlign w:val="superscript"/>
          <w:lang w:val="tr-TR"/>
        </w:rPr>
        <w:t>b</w:t>
      </w:r>
      <w:proofErr w:type="spellEnd"/>
      <w:r w:rsidRPr="004F72C1">
        <w:rPr>
          <w:color w:val="231F20"/>
          <w:lang w:val="tr-TR"/>
        </w:rPr>
        <w:t xml:space="preserve">, </w:t>
      </w:r>
      <w:r w:rsidRPr="004F72C1">
        <w:rPr>
          <w:lang w:val="tr-TR"/>
        </w:rPr>
        <w:t xml:space="preserve">Mesut </w:t>
      </w:r>
      <w:proofErr w:type="spellStart"/>
      <w:r w:rsidRPr="004F72C1">
        <w:rPr>
          <w:lang w:val="tr-TR"/>
        </w:rPr>
        <w:t>Görür</w:t>
      </w:r>
      <w:r w:rsidRPr="004F72C1">
        <w:rPr>
          <w:vertAlign w:val="superscript"/>
          <w:lang w:val="tr-TR"/>
        </w:rPr>
        <w:t>c</w:t>
      </w:r>
      <w:proofErr w:type="spellEnd"/>
      <w:r w:rsidRPr="004F72C1">
        <w:rPr>
          <w:lang w:val="tr-TR"/>
        </w:rPr>
        <w:t>,</w:t>
      </w:r>
      <w:r w:rsidRPr="004F72C1">
        <w:rPr>
          <w:color w:val="231F20"/>
          <w:lang w:val="tr-TR"/>
        </w:rPr>
        <w:t xml:space="preserve"> Faruk </w:t>
      </w:r>
      <w:proofErr w:type="spellStart"/>
      <w:r w:rsidRPr="004F72C1">
        <w:rPr>
          <w:color w:val="231F20"/>
          <w:lang w:val="tr-TR"/>
        </w:rPr>
        <w:t>Yılmaz</w:t>
      </w:r>
      <w:r w:rsidRPr="004F72C1">
        <w:rPr>
          <w:color w:val="231F20"/>
          <w:vertAlign w:val="superscript"/>
          <w:lang w:val="tr-TR"/>
        </w:rPr>
        <w:t>b</w:t>
      </w:r>
      <w:proofErr w:type="spellEnd"/>
    </w:p>
    <w:p w:rsidR="00253C77" w:rsidRPr="004F72C1" w:rsidRDefault="00253C77" w:rsidP="00AC3EDC">
      <w:pPr>
        <w:autoSpaceDE w:val="0"/>
        <w:autoSpaceDN w:val="0"/>
        <w:adjustRightInd w:val="0"/>
        <w:ind w:firstLine="567"/>
        <w:rPr>
          <w:color w:val="231F20"/>
          <w:lang w:val="tr-TR"/>
        </w:rPr>
      </w:pPr>
    </w:p>
    <w:p w:rsidR="00253C77" w:rsidRPr="004F72C1" w:rsidRDefault="00253C77" w:rsidP="00C10951">
      <w:pPr>
        <w:autoSpaceDE w:val="0"/>
        <w:autoSpaceDN w:val="0"/>
        <w:adjustRightInd w:val="0"/>
        <w:jc w:val="both"/>
        <w:rPr>
          <w:color w:val="231F20"/>
          <w:sz w:val="22"/>
          <w:szCs w:val="22"/>
          <w:lang w:val="tr-TR"/>
        </w:rPr>
      </w:pPr>
      <w:proofErr w:type="spellStart"/>
      <w:r w:rsidRPr="004F72C1">
        <w:rPr>
          <w:color w:val="231F20"/>
          <w:sz w:val="22"/>
          <w:szCs w:val="22"/>
          <w:vertAlign w:val="superscript"/>
          <w:lang w:val="tr-TR"/>
        </w:rPr>
        <w:t>a</w:t>
      </w:r>
      <w:r w:rsidRPr="004F72C1">
        <w:rPr>
          <w:color w:val="231F20"/>
          <w:sz w:val="22"/>
          <w:szCs w:val="22"/>
          <w:lang w:val="tr-TR"/>
        </w:rPr>
        <w:t>Süleyman</w:t>
      </w:r>
      <w:proofErr w:type="spellEnd"/>
      <w:r w:rsidRPr="004F72C1">
        <w:rPr>
          <w:color w:val="231F20"/>
          <w:sz w:val="22"/>
          <w:szCs w:val="22"/>
          <w:lang w:val="tr-TR"/>
        </w:rPr>
        <w:t xml:space="preserve"> Demirel Üniversitesi, Fen Edebiyat Fakültesi, Kimya Bölümü, 32260 ISPARTA</w:t>
      </w:r>
    </w:p>
    <w:p w:rsidR="00253C77" w:rsidRPr="00C444DA" w:rsidRDefault="00253C77" w:rsidP="00C10951">
      <w:pPr>
        <w:jc w:val="both"/>
        <w:rPr>
          <w:color w:val="000000"/>
          <w:sz w:val="22"/>
          <w:szCs w:val="22"/>
          <w:lang w:val="tr-TR"/>
        </w:rPr>
      </w:pPr>
      <w:proofErr w:type="spellStart"/>
      <w:r w:rsidRPr="00C444DA">
        <w:rPr>
          <w:color w:val="000000"/>
          <w:sz w:val="22"/>
          <w:szCs w:val="22"/>
          <w:vertAlign w:val="superscript"/>
          <w:lang w:val="tr-TR"/>
        </w:rPr>
        <w:t>b</w:t>
      </w:r>
      <w:r w:rsidRPr="00C444DA">
        <w:rPr>
          <w:color w:val="000000"/>
          <w:sz w:val="22"/>
          <w:szCs w:val="22"/>
          <w:lang w:val="tr-TR"/>
        </w:rPr>
        <w:t>Gebze</w:t>
      </w:r>
      <w:proofErr w:type="spellEnd"/>
      <w:r w:rsidRPr="00C444DA">
        <w:rPr>
          <w:color w:val="000000"/>
          <w:sz w:val="22"/>
          <w:szCs w:val="22"/>
          <w:lang w:val="tr-TR"/>
        </w:rPr>
        <w:t xml:space="preserve"> Yüksek Teknoloji Enstitüsü, Fen Fakültesi, Kimya Bölümü, </w:t>
      </w:r>
      <w:r w:rsidRPr="00C444DA">
        <w:rPr>
          <w:sz w:val="22"/>
          <w:szCs w:val="22"/>
          <w:lang w:val="tr-TR"/>
        </w:rPr>
        <w:t xml:space="preserve">41400 </w:t>
      </w:r>
      <w:r w:rsidRPr="00C444DA">
        <w:rPr>
          <w:color w:val="000000"/>
          <w:sz w:val="22"/>
          <w:szCs w:val="22"/>
          <w:lang w:val="tr-TR"/>
        </w:rPr>
        <w:t>Gebze/KOCAELİ</w:t>
      </w:r>
    </w:p>
    <w:p w:rsidR="00253C77" w:rsidRPr="00C444DA" w:rsidRDefault="00253C77" w:rsidP="00C10951">
      <w:pPr>
        <w:rPr>
          <w:sz w:val="22"/>
          <w:szCs w:val="22"/>
          <w:lang w:val="tr-TR"/>
        </w:rPr>
      </w:pPr>
      <w:proofErr w:type="spellStart"/>
      <w:r w:rsidRPr="00C444DA">
        <w:rPr>
          <w:sz w:val="22"/>
          <w:szCs w:val="22"/>
          <w:vertAlign w:val="superscript"/>
          <w:lang w:val="tr-TR"/>
        </w:rPr>
        <w:t>c</w:t>
      </w:r>
      <w:r w:rsidRPr="00C444DA">
        <w:rPr>
          <w:sz w:val="22"/>
          <w:szCs w:val="22"/>
          <w:lang w:val="tr-TR"/>
        </w:rPr>
        <w:t>İstanbul</w:t>
      </w:r>
      <w:proofErr w:type="spellEnd"/>
      <w:r w:rsidRPr="00C444DA">
        <w:rPr>
          <w:sz w:val="22"/>
          <w:szCs w:val="22"/>
          <w:lang w:val="tr-TR"/>
        </w:rPr>
        <w:t xml:space="preserve"> Medeniyet Üniversitesi, Fen Fakültesi, Kimya Bölümü, 34720 Kadıköy/İSTANBUL</w:t>
      </w:r>
    </w:p>
    <w:p w:rsidR="00C42A76" w:rsidRDefault="00C04757" w:rsidP="00C42A76">
      <w:pPr>
        <w:jc w:val="center"/>
        <w:rPr>
          <w:iCs/>
          <w:sz w:val="20"/>
          <w:szCs w:val="20"/>
          <w:lang w:val="tr-TR"/>
        </w:rPr>
      </w:pPr>
      <w:hyperlink r:id="rId6" w:history="1">
        <w:r w:rsidR="00703054" w:rsidRPr="00703054">
          <w:rPr>
            <w:rStyle w:val="Kpr"/>
            <w:iCs/>
            <w:sz w:val="20"/>
            <w:szCs w:val="20"/>
            <w:lang w:val="tr-TR"/>
          </w:rPr>
          <w:t>okaragollu@hotmail.com</w:t>
        </w:r>
      </w:hyperlink>
    </w:p>
    <w:p w:rsidR="00253C77" w:rsidRPr="00C10951" w:rsidRDefault="00253C77" w:rsidP="00C10951">
      <w:pPr>
        <w:jc w:val="center"/>
        <w:rPr>
          <w:sz w:val="20"/>
          <w:szCs w:val="20"/>
          <w:lang w:val="tr-TR"/>
        </w:rPr>
      </w:pPr>
    </w:p>
    <w:p w:rsidR="00253C77" w:rsidRDefault="00253C77" w:rsidP="00DA3CBC">
      <w:pPr>
        <w:ind w:firstLine="567"/>
        <w:jc w:val="both"/>
        <w:rPr>
          <w:lang w:val="tr-TR"/>
        </w:rPr>
      </w:pPr>
      <w:r w:rsidRPr="00C444DA">
        <w:rPr>
          <w:lang w:val="tr-TR"/>
        </w:rPr>
        <w:t xml:space="preserve">Anyonlar pek çok kimyasal ve biyolojik süreçlerde önemli rollere sahiptirler. Bunların arasında, fosfat anyonları bilgi işleme, enerji depolama ve sinyal iletimi gibi biyolojik olaylardaki anahtar rollerinden özel bir öneme sahiptir [1]. </w:t>
      </w:r>
      <w:r>
        <w:rPr>
          <w:lang w:val="tr-TR"/>
        </w:rPr>
        <w:t xml:space="preserve">Fosfat iyonları bitkilerin ve hayvanların ana besin öğeleridir ve suni gübrelerde yaygın bir şekilde kullanılmaktadır. Fosfat iyonlarının gereğinden fazla kullanılması nehirlerde ve göllerde fosfat iyonlarının </w:t>
      </w:r>
      <w:proofErr w:type="gramStart"/>
      <w:r>
        <w:rPr>
          <w:lang w:val="tr-TR"/>
        </w:rPr>
        <w:t>konsantrasyonlarının</w:t>
      </w:r>
      <w:proofErr w:type="gramEnd"/>
      <w:r>
        <w:rPr>
          <w:lang w:val="tr-TR"/>
        </w:rPr>
        <w:t xml:space="preserve"> artmasına, yosunlaşmaya ve sonuç olarak </w:t>
      </w:r>
      <w:proofErr w:type="spellStart"/>
      <w:r>
        <w:rPr>
          <w:lang w:val="tr-TR"/>
        </w:rPr>
        <w:t>ötrifikasyona</w:t>
      </w:r>
      <w:proofErr w:type="spellEnd"/>
      <w:r>
        <w:rPr>
          <w:lang w:val="tr-TR"/>
        </w:rPr>
        <w:t xml:space="preserve"> neden olmaktadır [2]. Bu yüzden, topraktaki ve sudaki fosfat iyon </w:t>
      </w:r>
      <w:proofErr w:type="gramStart"/>
      <w:r>
        <w:rPr>
          <w:lang w:val="tr-TR"/>
        </w:rPr>
        <w:t>konsantrasyonunun</w:t>
      </w:r>
      <w:proofErr w:type="gramEnd"/>
      <w:r>
        <w:rPr>
          <w:lang w:val="tr-TR"/>
        </w:rPr>
        <w:t xml:space="preserve"> tespiti çevresel açıdan kritik öneme sahiptir. Bunu yanında, </w:t>
      </w:r>
      <w:proofErr w:type="spellStart"/>
      <w:r>
        <w:rPr>
          <w:lang w:val="tr-TR"/>
        </w:rPr>
        <w:t>sekonder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hiperparatiroidism</w:t>
      </w:r>
      <w:proofErr w:type="spellEnd"/>
      <w:r>
        <w:rPr>
          <w:lang w:val="tr-TR"/>
        </w:rPr>
        <w:t xml:space="preserve">, D vitamini eksikliği ve </w:t>
      </w:r>
      <w:proofErr w:type="spellStart"/>
      <w:r>
        <w:rPr>
          <w:lang w:val="tr-TR"/>
        </w:rPr>
        <w:t>Fanconi</w:t>
      </w:r>
      <w:proofErr w:type="spellEnd"/>
      <w:r>
        <w:rPr>
          <w:lang w:val="tr-TR"/>
        </w:rPr>
        <w:t xml:space="preserve"> </w:t>
      </w:r>
      <w:proofErr w:type="gramStart"/>
      <w:r>
        <w:rPr>
          <w:lang w:val="tr-TR"/>
        </w:rPr>
        <w:t>sendromu</w:t>
      </w:r>
      <w:proofErr w:type="gramEnd"/>
      <w:r>
        <w:rPr>
          <w:lang w:val="tr-TR"/>
        </w:rPr>
        <w:t xml:space="preserve"> gibi bazı sağlık problemleri vücut sıvılarındaki fosfat iyonu konsantrasyonunun ölçülmesi ile teşhis edilebilir [2]. </w:t>
      </w:r>
    </w:p>
    <w:p w:rsidR="00253C77" w:rsidRDefault="00253C77" w:rsidP="00DA3CBC">
      <w:pPr>
        <w:ind w:firstLine="567"/>
        <w:jc w:val="both"/>
        <w:rPr>
          <w:lang w:val="tr-TR"/>
        </w:rPr>
      </w:pPr>
      <w:r>
        <w:rPr>
          <w:lang w:val="tr-TR"/>
        </w:rPr>
        <w:t xml:space="preserve">Elektrokimya, son yıllarda anyonların belirlenmesinde en çok kullanılan yöntemlerden biridir. </w:t>
      </w:r>
      <w:proofErr w:type="spellStart"/>
      <w:r>
        <w:rPr>
          <w:lang w:val="tr-TR"/>
        </w:rPr>
        <w:t>Ferrosen</w:t>
      </w:r>
      <w:proofErr w:type="spellEnd"/>
      <w:r>
        <w:rPr>
          <w:lang w:val="tr-TR"/>
        </w:rPr>
        <w:t xml:space="preserve"> grubu, anyonların elektrokimyasal olarak tespitinde çok etkili bir sinyal ünitesi (</w:t>
      </w:r>
      <w:proofErr w:type="spellStart"/>
      <w:r>
        <w:rPr>
          <w:lang w:val="tr-TR"/>
        </w:rPr>
        <w:t>transdüser</w:t>
      </w:r>
      <w:proofErr w:type="spellEnd"/>
      <w:r>
        <w:rPr>
          <w:lang w:val="tr-TR"/>
        </w:rPr>
        <w:t xml:space="preserve">) olarak rapor edilmiştir. Bunun yanında, </w:t>
      </w:r>
      <w:proofErr w:type="spellStart"/>
      <w:r>
        <w:rPr>
          <w:lang w:val="tr-TR"/>
        </w:rPr>
        <w:t>ferrosen</w:t>
      </w:r>
      <w:proofErr w:type="spellEnd"/>
      <w:r>
        <w:rPr>
          <w:lang w:val="tr-TR"/>
        </w:rPr>
        <w:t xml:space="preserve"> içeren </w:t>
      </w:r>
      <w:proofErr w:type="gramStart"/>
      <w:r>
        <w:rPr>
          <w:lang w:val="tr-TR"/>
        </w:rPr>
        <w:t>reseptörler</w:t>
      </w:r>
      <w:proofErr w:type="gramEnd"/>
      <w:r>
        <w:rPr>
          <w:lang w:val="tr-TR"/>
        </w:rPr>
        <w:t xml:space="preserve"> hedef iyonların ilavesiyle iyi tanımlanmış redoks davranışı gösterirler [3]. </w:t>
      </w:r>
    </w:p>
    <w:p w:rsidR="00253C77" w:rsidRDefault="00253C77" w:rsidP="00DA3CBC">
      <w:pPr>
        <w:ind w:firstLine="567"/>
        <w:jc w:val="both"/>
        <w:rPr>
          <w:lang w:val="tr-TR"/>
        </w:rPr>
      </w:pPr>
      <w:r>
        <w:rPr>
          <w:lang w:val="tr-TR"/>
        </w:rPr>
        <w:t>Bu çalışmada, Cu(I)-</w:t>
      </w:r>
      <w:proofErr w:type="spellStart"/>
      <w:r>
        <w:rPr>
          <w:lang w:val="tr-TR"/>
        </w:rPr>
        <w:t>katalizli</w:t>
      </w:r>
      <w:proofErr w:type="spellEnd"/>
      <w:r>
        <w:rPr>
          <w:lang w:val="tr-TR"/>
        </w:rPr>
        <w:t xml:space="preserve"> 1,3-dipolar halka-katılma reaksiyonu ile </w:t>
      </w:r>
      <w:proofErr w:type="spellStart"/>
      <w:r>
        <w:rPr>
          <w:lang w:val="tr-TR"/>
        </w:rPr>
        <w:t>ferrosen</w:t>
      </w:r>
      <w:proofErr w:type="spellEnd"/>
      <w:r>
        <w:rPr>
          <w:lang w:val="tr-TR"/>
        </w:rPr>
        <w:t xml:space="preserve"> içeren yeni bir </w:t>
      </w:r>
      <w:proofErr w:type="spellStart"/>
      <w:r>
        <w:rPr>
          <w:lang w:val="tr-TR"/>
        </w:rPr>
        <w:t>tiyofen</w:t>
      </w:r>
      <w:proofErr w:type="spellEnd"/>
      <w:r>
        <w:rPr>
          <w:lang w:val="tr-TR"/>
        </w:rPr>
        <w:t xml:space="preserve"> bileşiği (</w:t>
      </w:r>
      <w:proofErr w:type="spellStart"/>
      <w:r w:rsidRPr="00E37F98">
        <w:rPr>
          <w:b/>
          <w:bCs/>
          <w:lang w:val="tr-TR"/>
        </w:rPr>
        <w:t>Thi-Fc</w:t>
      </w:r>
      <w:proofErr w:type="spellEnd"/>
      <w:r>
        <w:rPr>
          <w:lang w:val="tr-TR"/>
        </w:rPr>
        <w:t xml:space="preserve">) (Şekil 1) sentezlendi ve kimyasal yapısı </w:t>
      </w:r>
      <w:r w:rsidRPr="00D42C16">
        <w:rPr>
          <w:vertAlign w:val="superscript"/>
          <w:lang w:val="tr-TR"/>
        </w:rPr>
        <w:t>1</w:t>
      </w:r>
      <w:r>
        <w:rPr>
          <w:lang w:val="tr-TR"/>
        </w:rPr>
        <w:t>H NM</w:t>
      </w:r>
      <w:r w:rsidR="00C04757">
        <w:rPr>
          <w:lang w:val="tr-TR"/>
        </w:rPr>
        <w:t>R</w:t>
      </w:r>
      <w:r>
        <w:rPr>
          <w:lang w:val="tr-TR"/>
        </w:rPr>
        <w:t xml:space="preserve">, FT-IR ve kütle spektroskopisi ile aydınlatıldı. </w:t>
      </w:r>
      <w:proofErr w:type="spellStart"/>
      <w:r w:rsidRPr="00E37F98">
        <w:rPr>
          <w:b/>
          <w:bCs/>
          <w:lang w:val="tr-TR"/>
        </w:rPr>
        <w:t>Thi-Fc</w:t>
      </w:r>
      <w:proofErr w:type="spellEnd"/>
      <w:r>
        <w:rPr>
          <w:lang w:val="tr-TR"/>
        </w:rPr>
        <w:t xml:space="preserve"> bileşiğinin elektrokimyasal özellikleri döngüsel </w:t>
      </w:r>
      <w:proofErr w:type="spellStart"/>
      <w:r>
        <w:rPr>
          <w:lang w:val="tr-TR"/>
        </w:rPr>
        <w:t>voltametri</w:t>
      </w:r>
      <w:proofErr w:type="spellEnd"/>
      <w:r>
        <w:rPr>
          <w:lang w:val="tr-TR"/>
        </w:rPr>
        <w:t xml:space="preserve"> ile incelendi. Ayrıca, </w:t>
      </w:r>
      <w:proofErr w:type="spellStart"/>
      <w:r>
        <w:rPr>
          <w:lang w:val="tr-TR"/>
        </w:rPr>
        <w:t>Thi-Fc</w:t>
      </w:r>
      <w:proofErr w:type="spellEnd"/>
      <w:r>
        <w:rPr>
          <w:lang w:val="tr-TR"/>
        </w:rPr>
        <w:t xml:space="preserve"> bileşiği </w:t>
      </w:r>
      <w:proofErr w:type="spellStart"/>
      <w:r w:rsidR="00C04757">
        <w:rPr>
          <w:lang w:val="tr-TR"/>
        </w:rPr>
        <w:t>diklorometanda</w:t>
      </w:r>
      <w:proofErr w:type="spellEnd"/>
      <w:r>
        <w:rPr>
          <w:lang w:val="tr-TR"/>
        </w:rPr>
        <w:t xml:space="preserve"> </w:t>
      </w:r>
      <w:proofErr w:type="spellStart"/>
      <w:r w:rsidR="00C04757">
        <w:rPr>
          <w:lang w:val="tr-TR"/>
        </w:rPr>
        <w:t>dihidrojen</w:t>
      </w:r>
      <w:proofErr w:type="spellEnd"/>
      <w:r w:rsidR="00C04757">
        <w:rPr>
          <w:lang w:val="tr-TR"/>
        </w:rPr>
        <w:t xml:space="preserve"> </w:t>
      </w:r>
      <w:r>
        <w:rPr>
          <w:lang w:val="tr-TR"/>
        </w:rPr>
        <w:t>fosfat</w:t>
      </w:r>
      <w:r w:rsidR="00C04757">
        <w:rPr>
          <w:lang w:val="tr-TR"/>
        </w:rPr>
        <w:t xml:space="preserve"> ve </w:t>
      </w:r>
      <w:proofErr w:type="spellStart"/>
      <w:r w:rsidR="00C04757">
        <w:rPr>
          <w:lang w:val="tr-TR"/>
        </w:rPr>
        <w:t>pirofosfat</w:t>
      </w:r>
      <w:proofErr w:type="spellEnd"/>
      <w:r w:rsidR="00C04757">
        <w:rPr>
          <w:lang w:val="tr-TR"/>
        </w:rPr>
        <w:t xml:space="preserve"> anyonlarının</w:t>
      </w:r>
      <w:r>
        <w:rPr>
          <w:lang w:val="tr-TR"/>
        </w:rPr>
        <w:t xml:space="preserve"> elektrokimyasal yolla tayininde kullanıldı. </w:t>
      </w:r>
      <w:proofErr w:type="spellStart"/>
      <w:r w:rsidRPr="00E37F98">
        <w:rPr>
          <w:b/>
          <w:bCs/>
          <w:lang w:val="tr-TR"/>
        </w:rPr>
        <w:t>Thi-Fc</w:t>
      </w:r>
      <w:proofErr w:type="spellEnd"/>
      <w:r>
        <w:rPr>
          <w:lang w:val="tr-TR"/>
        </w:rPr>
        <w:t xml:space="preserve"> bileşiğinin döngüsel </w:t>
      </w:r>
      <w:proofErr w:type="spellStart"/>
      <w:r>
        <w:rPr>
          <w:lang w:val="tr-TR"/>
        </w:rPr>
        <w:t>voltametri</w:t>
      </w:r>
      <w:proofErr w:type="spellEnd"/>
      <w:r>
        <w:rPr>
          <w:lang w:val="tr-TR"/>
        </w:rPr>
        <w:t xml:space="preserve"> incelemelerinde, </w:t>
      </w:r>
      <w:proofErr w:type="spellStart"/>
      <w:r>
        <w:rPr>
          <w:lang w:val="tr-TR"/>
        </w:rPr>
        <w:t>fe</w:t>
      </w:r>
      <w:r w:rsidR="00A37437">
        <w:rPr>
          <w:lang w:val="tr-TR"/>
        </w:rPr>
        <w:t>r</w:t>
      </w:r>
      <w:r>
        <w:rPr>
          <w:lang w:val="tr-TR"/>
        </w:rPr>
        <w:t>rosenin</w:t>
      </w:r>
      <w:proofErr w:type="spellEnd"/>
      <w:r>
        <w:rPr>
          <w:lang w:val="tr-TR"/>
        </w:rPr>
        <w:t xml:space="preserve"> redoks piklerinin </w:t>
      </w:r>
      <w:proofErr w:type="spellStart"/>
      <w:r>
        <w:rPr>
          <w:lang w:val="tr-TR"/>
        </w:rPr>
        <w:t>dihidrojen</w:t>
      </w:r>
      <w:proofErr w:type="spellEnd"/>
      <w:r>
        <w:rPr>
          <w:lang w:val="tr-TR"/>
        </w:rPr>
        <w:t xml:space="preserve"> fosfat </w:t>
      </w:r>
      <w:r w:rsidR="00C04757">
        <w:rPr>
          <w:lang w:val="tr-TR"/>
        </w:rPr>
        <w:t xml:space="preserve">ve </w:t>
      </w:r>
      <w:bookmarkStart w:id="0" w:name="_GoBack"/>
      <w:bookmarkEnd w:id="0"/>
      <w:proofErr w:type="spellStart"/>
      <w:r w:rsidR="00C04757">
        <w:rPr>
          <w:lang w:val="tr-TR"/>
        </w:rPr>
        <w:t>pirofosfat</w:t>
      </w:r>
      <w:proofErr w:type="spellEnd"/>
      <w:r w:rsidR="00C04757">
        <w:rPr>
          <w:lang w:val="tr-TR"/>
        </w:rPr>
        <w:t xml:space="preserve"> </w:t>
      </w:r>
      <w:r w:rsidR="00C04757">
        <w:rPr>
          <w:lang w:val="tr-TR"/>
        </w:rPr>
        <w:t xml:space="preserve">anyonlarının </w:t>
      </w:r>
      <w:proofErr w:type="gramStart"/>
      <w:r w:rsidR="00C04757">
        <w:rPr>
          <w:lang w:val="tr-TR"/>
        </w:rPr>
        <w:t>konsantrasyonlarına</w:t>
      </w:r>
      <w:proofErr w:type="gramEnd"/>
      <w:r>
        <w:rPr>
          <w:lang w:val="tr-TR"/>
        </w:rPr>
        <w:t xml:space="preserve"> bağlı olarak negatif kayma gösterdiği gözlendi. </w:t>
      </w:r>
    </w:p>
    <w:p w:rsidR="004A3ABD" w:rsidRPr="00C444DA" w:rsidRDefault="003357D3" w:rsidP="003357D3">
      <w:r>
        <w:t xml:space="preserve">                             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120"/>
        <w:gridCol w:w="430"/>
        <w:gridCol w:w="4037"/>
      </w:tblGrid>
      <w:tr w:rsidR="004A3ABD" w:rsidTr="004A3ABD">
        <w:tc>
          <w:tcPr>
            <w:tcW w:w="323" w:type="dxa"/>
          </w:tcPr>
          <w:p w:rsidR="004A3ABD" w:rsidRPr="000874B4" w:rsidRDefault="004A3ABD" w:rsidP="003357D3">
            <w:pPr>
              <w:rPr>
                <w:b/>
              </w:rPr>
            </w:pPr>
            <w:r w:rsidRPr="000874B4">
              <w:rPr>
                <w:b/>
              </w:rPr>
              <w:t>a</w:t>
            </w:r>
            <w:r w:rsidR="000874B4" w:rsidRPr="000874B4">
              <w:rPr>
                <w:b/>
              </w:rPr>
              <w:t>)</w:t>
            </w:r>
          </w:p>
        </w:tc>
        <w:tc>
          <w:tcPr>
            <w:tcW w:w="4140" w:type="dxa"/>
          </w:tcPr>
          <w:p w:rsidR="004A3ABD" w:rsidRDefault="004A3ABD" w:rsidP="003357D3">
            <w:r>
              <w:rPr>
                <w:noProof/>
                <w:lang w:val="tr-TR"/>
              </w:rPr>
              <w:drawing>
                <wp:inline distT="0" distB="0" distL="0" distR="0">
                  <wp:extent cx="2373818" cy="1224000"/>
                  <wp:effectExtent l="19050" t="0" r="7432" b="0"/>
                  <wp:docPr id="1" name="0 Resim" descr="untitle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t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818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" w:type="dxa"/>
          </w:tcPr>
          <w:p w:rsidR="004A3ABD" w:rsidRPr="000874B4" w:rsidRDefault="004A3ABD" w:rsidP="003357D3">
            <w:pPr>
              <w:rPr>
                <w:b/>
              </w:rPr>
            </w:pPr>
            <w:r w:rsidRPr="000874B4">
              <w:rPr>
                <w:b/>
              </w:rPr>
              <w:t>b</w:t>
            </w:r>
            <w:r w:rsidR="000874B4" w:rsidRPr="000874B4">
              <w:rPr>
                <w:b/>
              </w:rPr>
              <w:t>)</w:t>
            </w:r>
          </w:p>
        </w:tc>
        <w:tc>
          <w:tcPr>
            <w:tcW w:w="4128" w:type="dxa"/>
          </w:tcPr>
          <w:p w:rsidR="004A3ABD" w:rsidRDefault="004A3ABD" w:rsidP="003357D3">
            <w:r>
              <w:rPr>
                <w:noProof/>
                <w:lang w:val="tr-TR"/>
              </w:rPr>
              <w:drawing>
                <wp:inline distT="0" distB="0" distL="0" distR="0">
                  <wp:extent cx="2055927" cy="1296000"/>
                  <wp:effectExtent l="19050" t="0" r="1473" b="0"/>
                  <wp:docPr id="2" name="1 Resim" descr="kongre şeki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ngre şekil.t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927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ABD" w:rsidTr="004A3ABD">
        <w:tc>
          <w:tcPr>
            <w:tcW w:w="8927" w:type="dxa"/>
            <w:gridSpan w:val="4"/>
          </w:tcPr>
          <w:p w:rsidR="004A3ABD" w:rsidRPr="004A3ABD" w:rsidRDefault="004A3ABD" w:rsidP="000874B4">
            <w:pPr>
              <w:spacing w:before="120"/>
              <w:rPr>
                <w:lang w:val="tr-TR"/>
              </w:rPr>
            </w:pPr>
            <w:proofErr w:type="spellStart"/>
            <w:r w:rsidRPr="00C444DA">
              <w:rPr>
                <w:b/>
                <w:bCs/>
              </w:rPr>
              <w:t>Şekil</w:t>
            </w:r>
            <w:proofErr w:type="spellEnd"/>
            <w:r w:rsidRPr="00C444DA">
              <w:rPr>
                <w:b/>
                <w:bCs/>
              </w:rPr>
              <w:t xml:space="preserve"> 1.</w:t>
            </w:r>
            <w:r w:rsidRPr="00C444DA">
              <w:t xml:space="preserve"> </w:t>
            </w:r>
            <w:r w:rsidR="000874B4">
              <w:rPr>
                <w:b/>
              </w:rPr>
              <w:t>a</w:t>
            </w:r>
            <w:r w:rsidRPr="004A3ABD">
              <w:rPr>
                <w:b/>
              </w:rPr>
              <w:t>)</w:t>
            </w:r>
            <w:r>
              <w:t xml:space="preserve"> </w:t>
            </w:r>
            <w:proofErr w:type="spellStart"/>
            <w:r w:rsidRPr="00C444DA">
              <w:t>F</w:t>
            </w:r>
            <w:r>
              <w:t>errosen</w:t>
            </w:r>
            <w:proofErr w:type="spellEnd"/>
            <w:r>
              <w:t xml:space="preserve"> </w:t>
            </w:r>
            <w:proofErr w:type="spellStart"/>
            <w:r>
              <w:t>içeren</w:t>
            </w:r>
            <w:proofErr w:type="spellEnd"/>
            <w:r>
              <w:t xml:space="preserve"> </w:t>
            </w:r>
            <w:proofErr w:type="spellStart"/>
            <w:r>
              <w:t>tiyofen</w:t>
            </w:r>
            <w:proofErr w:type="spellEnd"/>
            <w:r>
              <w:t xml:space="preserve"> </w:t>
            </w:r>
            <w:proofErr w:type="spellStart"/>
            <w:r>
              <w:t>bileşiği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 w:rsidRPr="004A3ABD">
              <w:rPr>
                <w:b/>
                <w:lang w:val="tr-TR"/>
              </w:rPr>
              <w:t>b)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dihidrojen</w:t>
            </w:r>
            <w:proofErr w:type="spellEnd"/>
            <w:r>
              <w:rPr>
                <w:lang w:val="tr-TR"/>
              </w:rPr>
              <w:t xml:space="preserve"> fosfat anyonu ile etkileşimi</w:t>
            </w:r>
          </w:p>
        </w:tc>
      </w:tr>
    </w:tbl>
    <w:p w:rsidR="003357D3" w:rsidRDefault="003357D3" w:rsidP="003357D3"/>
    <w:p w:rsidR="000263DF" w:rsidRPr="00C444DA" w:rsidRDefault="000263DF" w:rsidP="003357D3"/>
    <w:p w:rsidR="003357D3" w:rsidRPr="00C444DA" w:rsidRDefault="003357D3" w:rsidP="003357D3">
      <w:pPr>
        <w:jc w:val="both"/>
        <w:rPr>
          <w:b/>
          <w:bCs/>
          <w:lang w:val="tr-TR"/>
        </w:rPr>
      </w:pPr>
      <w:r w:rsidRPr="00C444DA">
        <w:rPr>
          <w:b/>
          <w:bCs/>
          <w:lang w:val="tr-TR"/>
        </w:rPr>
        <w:t>Kaynaklar:</w:t>
      </w:r>
    </w:p>
    <w:p w:rsidR="003357D3" w:rsidRDefault="003357D3" w:rsidP="003357D3">
      <w:pPr>
        <w:pStyle w:val="ListeParagraf"/>
        <w:numPr>
          <w:ilvl w:val="0"/>
          <w:numId w:val="3"/>
        </w:numPr>
        <w:jc w:val="both"/>
        <w:rPr>
          <w:lang w:val="tr-TR"/>
        </w:rPr>
      </w:pPr>
      <w:r w:rsidRPr="00C444DA">
        <w:rPr>
          <w:lang w:val="tr-TR"/>
        </w:rPr>
        <w:t xml:space="preserve"> </w:t>
      </w:r>
      <w:proofErr w:type="spellStart"/>
      <w:r w:rsidRPr="00C444DA">
        <w:rPr>
          <w:lang w:val="tr-TR"/>
        </w:rPr>
        <w:t>Shao</w:t>
      </w:r>
      <w:proofErr w:type="spellEnd"/>
      <w:r w:rsidRPr="00C444DA">
        <w:rPr>
          <w:lang w:val="tr-TR"/>
        </w:rPr>
        <w:t>, N</w:t>
      </w:r>
      <w:proofErr w:type="gramStart"/>
      <w:r w:rsidRPr="00C444DA">
        <w:rPr>
          <w:lang w:val="tr-TR"/>
        </w:rPr>
        <w:t>.;</w:t>
      </w:r>
      <w:proofErr w:type="gramEnd"/>
      <w:r w:rsidRPr="00C444DA">
        <w:rPr>
          <w:lang w:val="tr-TR"/>
        </w:rPr>
        <w:t xml:space="preserve"> </w:t>
      </w:r>
      <w:proofErr w:type="spellStart"/>
      <w:r w:rsidRPr="00C444DA">
        <w:rPr>
          <w:lang w:val="tr-TR"/>
        </w:rPr>
        <w:t>Wang</w:t>
      </w:r>
      <w:proofErr w:type="spellEnd"/>
      <w:r w:rsidRPr="00C444DA">
        <w:rPr>
          <w:lang w:val="tr-TR"/>
        </w:rPr>
        <w:t xml:space="preserve">, H.; </w:t>
      </w:r>
      <w:proofErr w:type="spellStart"/>
      <w:r w:rsidRPr="00C444DA">
        <w:rPr>
          <w:lang w:val="tr-TR"/>
        </w:rPr>
        <w:t>Gao</w:t>
      </w:r>
      <w:proofErr w:type="spellEnd"/>
      <w:r w:rsidRPr="00C444DA">
        <w:rPr>
          <w:lang w:val="tr-TR"/>
        </w:rPr>
        <w:t xml:space="preserve">, X.; </w:t>
      </w:r>
      <w:proofErr w:type="spellStart"/>
      <w:r w:rsidRPr="00C444DA">
        <w:rPr>
          <w:lang w:val="tr-TR"/>
        </w:rPr>
        <w:t>Yang</w:t>
      </w:r>
      <w:proofErr w:type="spellEnd"/>
      <w:r w:rsidRPr="00C444DA">
        <w:rPr>
          <w:lang w:val="tr-TR"/>
        </w:rPr>
        <w:t xml:space="preserve">, R.H.; </w:t>
      </w:r>
      <w:proofErr w:type="spellStart"/>
      <w:r w:rsidRPr="00C444DA">
        <w:rPr>
          <w:lang w:val="tr-TR"/>
        </w:rPr>
        <w:t>Chan</w:t>
      </w:r>
      <w:proofErr w:type="spellEnd"/>
      <w:r w:rsidRPr="00C444DA">
        <w:rPr>
          <w:lang w:val="tr-TR"/>
        </w:rPr>
        <w:t xml:space="preserve">, W.H., </w:t>
      </w:r>
      <w:proofErr w:type="spellStart"/>
      <w:r w:rsidRPr="00C444DA">
        <w:rPr>
          <w:i/>
          <w:iCs/>
          <w:lang w:val="tr-TR"/>
        </w:rPr>
        <w:t>Analitical</w:t>
      </w:r>
      <w:proofErr w:type="spellEnd"/>
      <w:r w:rsidRPr="00C444DA">
        <w:rPr>
          <w:i/>
          <w:iCs/>
          <w:lang w:val="tr-TR"/>
        </w:rPr>
        <w:t xml:space="preserve"> </w:t>
      </w:r>
      <w:proofErr w:type="spellStart"/>
      <w:r w:rsidRPr="00C444DA">
        <w:rPr>
          <w:i/>
          <w:iCs/>
          <w:lang w:val="tr-TR"/>
        </w:rPr>
        <w:t>Chemistry</w:t>
      </w:r>
      <w:proofErr w:type="spellEnd"/>
      <w:r w:rsidRPr="00C444DA">
        <w:rPr>
          <w:lang w:val="tr-TR"/>
        </w:rPr>
        <w:t xml:space="preserve">,  </w:t>
      </w:r>
      <w:r w:rsidRPr="00C444DA">
        <w:rPr>
          <w:b/>
          <w:bCs/>
          <w:lang w:val="tr-TR"/>
        </w:rPr>
        <w:t>82</w:t>
      </w:r>
      <w:r w:rsidRPr="00C444DA">
        <w:rPr>
          <w:lang w:val="tr-TR"/>
        </w:rPr>
        <w:t>, 4628–4636, 2010.</w:t>
      </w:r>
    </w:p>
    <w:p w:rsidR="003357D3" w:rsidRPr="00AB3DEA" w:rsidRDefault="003357D3" w:rsidP="003357D3">
      <w:pPr>
        <w:pStyle w:val="ListeParagraf"/>
        <w:numPr>
          <w:ilvl w:val="0"/>
          <w:numId w:val="3"/>
        </w:numPr>
        <w:jc w:val="both"/>
        <w:rPr>
          <w:sz w:val="22"/>
          <w:szCs w:val="22"/>
          <w:lang w:val="tr-TR"/>
        </w:rPr>
      </w:pPr>
      <w:proofErr w:type="spellStart"/>
      <w:r w:rsidRPr="00633E91">
        <w:rPr>
          <w:sz w:val="22"/>
          <w:szCs w:val="22"/>
          <w:lang w:val="tr-TR"/>
        </w:rPr>
        <w:t>Zou</w:t>
      </w:r>
      <w:proofErr w:type="spellEnd"/>
      <w:r w:rsidRPr="00633E91">
        <w:rPr>
          <w:sz w:val="22"/>
          <w:szCs w:val="22"/>
          <w:lang w:val="tr-TR"/>
        </w:rPr>
        <w:t>, Z</w:t>
      </w:r>
      <w:proofErr w:type="gramStart"/>
      <w:r w:rsidRPr="00633E91">
        <w:rPr>
          <w:sz w:val="22"/>
          <w:szCs w:val="22"/>
          <w:lang w:val="tr-TR"/>
        </w:rPr>
        <w:t>.;</w:t>
      </w:r>
      <w:proofErr w:type="gramEnd"/>
      <w:r w:rsidRPr="00633E91">
        <w:rPr>
          <w:sz w:val="22"/>
          <w:szCs w:val="22"/>
          <w:lang w:val="tr-TR"/>
        </w:rPr>
        <w:t xml:space="preserve"> Han, J.; </w:t>
      </w:r>
      <w:proofErr w:type="spellStart"/>
      <w:r w:rsidRPr="00633E91">
        <w:rPr>
          <w:sz w:val="22"/>
          <w:szCs w:val="22"/>
          <w:lang w:val="tr-TR"/>
        </w:rPr>
        <w:t>Jang</w:t>
      </w:r>
      <w:proofErr w:type="spellEnd"/>
      <w:r w:rsidRPr="00633E91">
        <w:rPr>
          <w:sz w:val="22"/>
          <w:szCs w:val="22"/>
          <w:lang w:val="tr-TR"/>
        </w:rPr>
        <w:t xml:space="preserve">, A.; </w:t>
      </w:r>
      <w:proofErr w:type="spellStart"/>
      <w:r w:rsidRPr="00633E91">
        <w:rPr>
          <w:sz w:val="22"/>
          <w:szCs w:val="22"/>
          <w:lang w:val="tr-TR"/>
        </w:rPr>
        <w:t>Bishop</w:t>
      </w:r>
      <w:proofErr w:type="spellEnd"/>
      <w:r w:rsidRPr="00633E91">
        <w:rPr>
          <w:sz w:val="22"/>
          <w:szCs w:val="22"/>
          <w:lang w:val="tr-TR"/>
        </w:rPr>
        <w:t xml:space="preserve">, P. L.; </w:t>
      </w:r>
      <w:proofErr w:type="spellStart"/>
      <w:r w:rsidRPr="00633E91">
        <w:rPr>
          <w:sz w:val="22"/>
          <w:szCs w:val="22"/>
          <w:lang w:val="tr-TR"/>
        </w:rPr>
        <w:t>Ahn</w:t>
      </w:r>
      <w:proofErr w:type="spellEnd"/>
      <w:r w:rsidRPr="00633E91">
        <w:rPr>
          <w:sz w:val="22"/>
          <w:szCs w:val="22"/>
          <w:lang w:val="tr-TR"/>
        </w:rPr>
        <w:t xml:space="preserve">, C. H., </w:t>
      </w:r>
      <w:proofErr w:type="spellStart"/>
      <w:r w:rsidRPr="00633E91">
        <w:rPr>
          <w:i/>
          <w:iCs/>
          <w:sz w:val="22"/>
          <w:szCs w:val="22"/>
          <w:lang w:val="tr-TR"/>
        </w:rPr>
        <w:t>Biosensors</w:t>
      </w:r>
      <w:proofErr w:type="spellEnd"/>
      <w:r w:rsidRPr="00633E91">
        <w:rPr>
          <w:i/>
          <w:iCs/>
          <w:sz w:val="22"/>
          <w:szCs w:val="22"/>
          <w:lang w:val="tr-TR"/>
        </w:rPr>
        <w:t xml:space="preserve"> </w:t>
      </w:r>
      <w:proofErr w:type="spellStart"/>
      <w:r w:rsidRPr="00633E91">
        <w:rPr>
          <w:i/>
          <w:iCs/>
          <w:sz w:val="22"/>
          <w:szCs w:val="22"/>
          <w:lang w:val="tr-TR"/>
        </w:rPr>
        <w:t>and</w:t>
      </w:r>
      <w:proofErr w:type="spellEnd"/>
      <w:r w:rsidRPr="00633E91">
        <w:rPr>
          <w:i/>
          <w:iCs/>
          <w:sz w:val="22"/>
          <w:szCs w:val="22"/>
          <w:lang w:val="tr-TR"/>
        </w:rPr>
        <w:t xml:space="preserve"> </w:t>
      </w:r>
      <w:proofErr w:type="spellStart"/>
      <w:r w:rsidRPr="00633E91">
        <w:rPr>
          <w:i/>
          <w:iCs/>
          <w:sz w:val="22"/>
          <w:szCs w:val="22"/>
          <w:lang w:val="tr-TR"/>
        </w:rPr>
        <w:t>Bioelectronics</w:t>
      </w:r>
      <w:proofErr w:type="spellEnd"/>
      <w:r>
        <w:rPr>
          <w:sz w:val="22"/>
          <w:szCs w:val="22"/>
          <w:lang w:val="tr-TR"/>
        </w:rPr>
        <w:t>,</w:t>
      </w:r>
      <w:r w:rsidRPr="00633E91">
        <w:rPr>
          <w:sz w:val="22"/>
          <w:szCs w:val="22"/>
          <w:lang w:val="tr-TR"/>
        </w:rPr>
        <w:t xml:space="preserve"> </w:t>
      </w:r>
      <w:r w:rsidRPr="00633E91">
        <w:rPr>
          <w:b/>
          <w:bCs/>
          <w:sz w:val="22"/>
          <w:szCs w:val="22"/>
          <w:lang w:val="tr-TR"/>
        </w:rPr>
        <w:t>22</w:t>
      </w:r>
      <w:r w:rsidRPr="00633E91">
        <w:rPr>
          <w:sz w:val="22"/>
          <w:szCs w:val="22"/>
          <w:lang w:val="tr-TR"/>
        </w:rPr>
        <w:t xml:space="preserve"> </w:t>
      </w:r>
      <w:r w:rsidRPr="00633E91">
        <w:rPr>
          <w:b/>
          <w:bCs/>
          <w:sz w:val="22"/>
          <w:szCs w:val="22"/>
          <w:lang w:val="tr-TR"/>
        </w:rPr>
        <w:t>(9–10)</w:t>
      </w:r>
      <w:r w:rsidRPr="00633E91">
        <w:rPr>
          <w:sz w:val="22"/>
          <w:szCs w:val="22"/>
          <w:lang w:val="tr-TR"/>
        </w:rPr>
        <w:t>, 1902-1907</w:t>
      </w:r>
      <w:r>
        <w:rPr>
          <w:sz w:val="22"/>
          <w:szCs w:val="22"/>
          <w:lang w:val="tr-TR"/>
        </w:rPr>
        <w:t>, 2007</w:t>
      </w:r>
    </w:p>
    <w:p w:rsidR="003357D3" w:rsidRPr="00B44A73" w:rsidRDefault="003357D3" w:rsidP="003357D3">
      <w:pPr>
        <w:pStyle w:val="ListeParagraf"/>
        <w:numPr>
          <w:ilvl w:val="0"/>
          <w:numId w:val="3"/>
        </w:numPr>
        <w:jc w:val="both"/>
      </w:pPr>
      <w:r w:rsidRPr="00BE1FAF">
        <w:rPr>
          <w:lang w:val="tr-TR"/>
        </w:rPr>
        <w:lastRenderedPageBreak/>
        <w:t xml:space="preserve"> </w:t>
      </w:r>
      <w:proofErr w:type="spellStart"/>
      <w:r w:rsidRPr="00BE1FAF">
        <w:rPr>
          <w:lang w:val="tr-TR"/>
        </w:rPr>
        <w:t>Romero</w:t>
      </w:r>
      <w:proofErr w:type="spellEnd"/>
      <w:r w:rsidRPr="00BE1FAF">
        <w:rPr>
          <w:lang w:val="tr-TR"/>
        </w:rPr>
        <w:t>, T</w:t>
      </w:r>
      <w:proofErr w:type="gramStart"/>
      <w:r w:rsidRPr="00BE1FAF">
        <w:rPr>
          <w:lang w:val="tr-TR"/>
        </w:rPr>
        <w:t>.;</w:t>
      </w:r>
      <w:proofErr w:type="gramEnd"/>
      <w:r w:rsidRPr="00BE1FAF">
        <w:rPr>
          <w:lang w:val="tr-TR"/>
        </w:rPr>
        <w:t xml:space="preserve"> </w:t>
      </w:r>
      <w:proofErr w:type="spellStart"/>
      <w:r w:rsidRPr="00BE1FAF">
        <w:rPr>
          <w:lang w:val="tr-TR"/>
        </w:rPr>
        <w:t>Caballero</w:t>
      </w:r>
      <w:proofErr w:type="spellEnd"/>
      <w:r w:rsidRPr="00BE1FAF">
        <w:rPr>
          <w:lang w:val="tr-TR"/>
        </w:rPr>
        <w:t xml:space="preserve">, A.; </w:t>
      </w:r>
      <w:proofErr w:type="spellStart"/>
      <w:r w:rsidRPr="00BE1FAF">
        <w:rPr>
          <w:lang w:val="tr-TR"/>
        </w:rPr>
        <w:t>Tarraga</w:t>
      </w:r>
      <w:proofErr w:type="spellEnd"/>
      <w:r w:rsidRPr="00BE1FAF">
        <w:rPr>
          <w:lang w:val="tr-TR"/>
        </w:rPr>
        <w:t xml:space="preserve">, A.; </w:t>
      </w:r>
      <w:proofErr w:type="spellStart"/>
      <w:r w:rsidRPr="00BE1FAF">
        <w:rPr>
          <w:lang w:val="tr-TR"/>
        </w:rPr>
        <w:t>Molina</w:t>
      </w:r>
      <w:proofErr w:type="spellEnd"/>
      <w:r w:rsidRPr="00BE1FAF">
        <w:rPr>
          <w:lang w:val="tr-TR"/>
        </w:rPr>
        <w:t xml:space="preserve">, P., </w:t>
      </w:r>
      <w:proofErr w:type="spellStart"/>
      <w:r w:rsidRPr="000874B4">
        <w:rPr>
          <w:i/>
          <w:lang w:val="tr-TR"/>
        </w:rPr>
        <w:t>Organic</w:t>
      </w:r>
      <w:proofErr w:type="spellEnd"/>
      <w:r w:rsidRPr="000874B4">
        <w:rPr>
          <w:i/>
          <w:lang w:val="tr-TR"/>
        </w:rPr>
        <w:t xml:space="preserve"> </w:t>
      </w:r>
      <w:proofErr w:type="spellStart"/>
      <w:r w:rsidRPr="000874B4">
        <w:rPr>
          <w:i/>
          <w:lang w:val="tr-TR"/>
        </w:rPr>
        <w:t>Letters</w:t>
      </w:r>
      <w:proofErr w:type="spellEnd"/>
      <w:r w:rsidRPr="00BE1FAF">
        <w:rPr>
          <w:lang w:val="tr-TR"/>
        </w:rPr>
        <w:t xml:space="preserve">, </w:t>
      </w:r>
      <w:r w:rsidRPr="000874B4">
        <w:rPr>
          <w:b/>
          <w:lang w:val="tr-TR"/>
        </w:rPr>
        <w:t>11</w:t>
      </w:r>
      <w:r w:rsidRPr="00BE1FAF">
        <w:rPr>
          <w:lang w:val="tr-TR"/>
        </w:rPr>
        <w:t>, 3466-3469, 2009.</w:t>
      </w:r>
    </w:p>
    <w:sectPr w:rsidR="003357D3" w:rsidRPr="00B44A73" w:rsidSect="00AC3EDC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483"/>
    <w:multiLevelType w:val="hybridMultilevel"/>
    <w:tmpl w:val="E78C62DE"/>
    <w:lvl w:ilvl="0" w:tplc="33E2EB0C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5B504336"/>
    <w:multiLevelType w:val="hybridMultilevel"/>
    <w:tmpl w:val="A01E17EC"/>
    <w:lvl w:ilvl="0" w:tplc="05587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41AD6"/>
    <w:multiLevelType w:val="hybridMultilevel"/>
    <w:tmpl w:val="53EA892A"/>
    <w:lvl w:ilvl="0" w:tplc="67989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73830"/>
    <w:rsid w:val="000259A5"/>
    <w:rsid w:val="000263DF"/>
    <w:rsid w:val="000662C6"/>
    <w:rsid w:val="000874B4"/>
    <w:rsid w:val="000C2216"/>
    <w:rsid w:val="001936E6"/>
    <w:rsid w:val="001A43F1"/>
    <w:rsid w:val="001E6D82"/>
    <w:rsid w:val="001F0995"/>
    <w:rsid w:val="002269B4"/>
    <w:rsid w:val="00253C77"/>
    <w:rsid w:val="00294D7E"/>
    <w:rsid w:val="00325421"/>
    <w:rsid w:val="00327A76"/>
    <w:rsid w:val="003357D3"/>
    <w:rsid w:val="0036276B"/>
    <w:rsid w:val="00393909"/>
    <w:rsid w:val="003C03BE"/>
    <w:rsid w:val="003C3ACA"/>
    <w:rsid w:val="003D20A4"/>
    <w:rsid w:val="00402A69"/>
    <w:rsid w:val="00406F35"/>
    <w:rsid w:val="00421C60"/>
    <w:rsid w:val="00494CF4"/>
    <w:rsid w:val="004A3ABD"/>
    <w:rsid w:val="004F72C1"/>
    <w:rsid w:val="0051443B"/>
    <w:rsid w:val="00574506"/>
    <w:rsid w:val="005B7142"/>
    <w:rsid w:val="005C5720"/>
    <w:rsid w:val="00611A77"/>
    <w:rsid w:val="00633E91"/>
    <w:rsid w:val="006413A3"/>
    <w:rsid w:val="00642CE4"/>
    <w:rsid w:val="00662A59"/>
    <w:rsid w:val="00664C38"/>
    <w:rsid w:val="00673830"/>
    <w:rsid w:val="00674120"/>
    <w:rsid w:val="006C01F8"/>
    <w:rsid w:val="006C57EC"/>
    <w:rsid w:val="006C768A"/>
    <w:rsid w:val="006D13A6"/>
    <w:rsid w:val="00703054"/>
    <w:rsid w:val="00720B98"/>
    <w:rsid w:val="00726FA2"/>
    <w:rsid w:val="00737B16"/>
    <w:rsid w:val="00780252"/>
    <w:rsid w:val="00794ADA"/>
    <w:rsid w:val="008A35F8"/>
    <w:rsid w:val="008C69DD"/>
    <w:rsid w:val="008D0D47"/>
    <w:rsid w:val="00903160"/>
    <w:rsid w:val="00947100"/>
    <w:rsid w:val="00960C57"/>
    <w:rsid w:val="00970F60"/>
    <w:rsid w:val="0099004E"/>
    <w:rsid w:val="009E7321"/>
    <w:rsid w:val="00A348FF"/>
    <w:rsid w:val="00A37437"/>
    <w:rsid w:val="00AA0F28"/>
    <w:rsid w:val="00AA162B"/>
    <w:rsid w:val="00AC3EDC"/>
    <w:rsid w:val="00B01243"/>
    <w:rsid w:val="00B073C3"/>
    <w:rsid w:val="00B116C7"/>
    <w:rsid w:val="00B40BD5"/>
    <w:rsid w:val="00B44A73"/>
    <w:rsid w:val="00B77DDF"/>
    <w:rsid w:val="00BA1EF3"/>
    <w:rsid w:val="00BA2797"/>
    <w:rsid w:val="00BE1FAF"/>
    <w:rsid w:val="00BF497C"/>
    <w:rsid w:val="00C04757"/>
    <w:rsid w:val="00C10951"/>
    <w:rsid w:val="00C42A76"/>
    <w:rsid w:val="00C444DA"/>
    <w:rsid w:val="00CA7B9C"/>
    <w:rsid w:val="00CC384B"/>
    <w:rsid w:val="00D42C16"/>
    <w:rsid w:val="00DA3CBC"/>
    <w:rsid w:val="00DA5895"/>
    <w:rsid w:val="00DB377E"/>
    <w:rsid w:val="00DB7718"/>
    <w:rsid w:val="00DF29E0"/>
    <w:rsid w:val="00E325E7"/>
    <w:rsid w:val="00E37F98"/>
    <w:rsid w:val="00E831FF"/>
    <w:rsid w:val="00E86F5B"/>
    <w:rsid w:val="00ED4E36"/>
    <w:rsid w:val="00F057C2"/>
    <w:rsid w:val="00F1500A"/>
    <w:rsid w:val="00F6448F"/>
    <w:rsid w:val="00F66B85"/>
    <w:rsid w:val="00FD087D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830"/>
    <w:rPr>
      <w:rFonts w:ascii="Times New Roman" w:eastAsia="Times New Roman" w:hAnsi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AA16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AA162B"/>
    <w:rPr>
      <w:rFonts w:ascii="Tahoma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99"/>
    <w:qFormat/>
    <w:rsid w:val="001E6D82"/>
    <w:pPr>
      <w:ind w:left="720"/>
    </w:pPr>
  </w:style>
  <w:style w:type="character" w:styleId="Kpr">
    <w:name w:val="Hyperlink"/>
    <w:basedOn w:val="VarsaylanParagrafYazTipi"/>
    <w:uiPriority w:val="99"/>
    <w:rsid w:val="00C10951"/>
    <w:rPr>
      <w:color w:val="0000FF"/>
      <w:u w:val="single"/>
    </w:rPr>
  </w:style>
  <w:style w:type="table" w:styleId="TabloKlavuzu">
    <w:name w:val="Table Grid"/>
    <w:basedOn w:val="NormalTablo"/>
    <w:locked/>
    <w:rsid w:val="004A3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okaragollu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Anyon sens</vt:lpstr>
    </vt:vector>
  </TitlesOfParts>
  <Company>GYTE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Anyon sens</dc:title>
  <dc:creator>OK</dc:creator>
  <cp:lastModifiedBy>VM</cp:lastModifiedBy>
  <cp:revision>3</cp:revision>
  <dcterms:created xsi:type="dcterms:W3CDTF">2012-06-11T07:34:00Z</dcterms:created>
  <dcterms:modified xsi:type="dcterms:W3CDTF">2012-08-07T12:46:00Z</dcterms:modified>
</cp:coreProperties>
</file>