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5FBBA" w14:textId="77777777" w:rsidR="00EB55D3" w:rsidRPr="00E97E0B" w:rsidRDefault="00EB55D3" w:rsidP="00F6265F">
      <w:pPr>
        <w:spacing w:after="80"/>
        <w:jc w:val="center"/>
        <w:rPr>
          <w:rFonts w:ascii="Book Antiqua" w:hAnsi="Book Antiqua"/>
          <w:color w:val="767171" w:themeColor="background2" w:themeShade="80"/>
          <w:sz w:val="28"/>
          <w:szCs w:val="28"/>
        </w:rPr>
      </w:pPr>
      <w:r w:rsidRPr="00E97E0B">
        <w:rPr>
          <w:rFonts w:ascii="Book Antiqua" w:hAnsi="Book Antiqua"/>
          <w:noProof/>
          <w:sz w:val="48"/>
          <w:szCs w:val="48"/>
          <w:lang w:eastAsia="tr-TR"/>
        </w:rPr>
        <w:drawing>
          <wp:inline distT="0" distB="0" distL="0" distR="0" wp14:anchorId="65A2EE34" wp14:editId="36991DCD">
            <wp:extent cx="4108450" cy="1727200"/>
            <wp:effectExtent l="0" t="0" r="6350" b="6350"/>
            <wp:docPr id="1" name="Resim 1"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2560F55B" w14:textId="77777777" w:rsidR="007446BB" w:rsidRPr="00E97E0B" w:rsidRDefault="007446BB" w:rsidP="007446BB">
      <w:pPr>
        <w:spacing w:after="0"/>
        <w:jc w:val="center"/>
        <w:rPr>
          <w:rFonts w:ascii="Book Antiqua" w:hAnsi="Book Antiqua"/>
          <w:color w:val="767171" w:themeColor="background2" w:themeShade="80"/>
          <w:sz w:val="28"/>
          <w:szCs w:val="28"/>
        </w:rPr>
      </w:pPr>
      <w:r w:rsidRPr="00E97E0B">
        <w:rPr>
          <w:rFonts w:ascii="Book Antiqua" w:hAnsi="Book Antiqua"/>
          <w:color w:val="767171" w:themeColor="background2" w:themeShade="80"/>
          <w:sz w:val="28"/>
          <w:szCs w:val="28"/>
        </w:rPr>
        <w:t>SİYASET BİLİMİ VE KAMU YÖNETİMİ ANABİLİM DALI</w:t>
      </w:r>
    </w:p>
    <w:p w14:paraId="54CD7762" w14:textId="1B6466A6" w:rsidR="009C3634" w:rsidRPr="00E97E0B" w:rsidRDefault="009C3634" w:rsidP="008C7334">
      <w:pPr>
        <w:jc w:val="center"/>
        <w:rPr>
          <w:rFonts w:ascii="Book Antiqua" w:hAnsi="Book Antiqua"/>
          <w:color w:val="767171" w:themeColor="background2" w:themeShade="80"/>
          <w:sz w:val="24"/>
          <w:szCs w:val="24"/>
        </w:rPr>
      </w:pPr>
    </w:p>
    <w:p w14:paraId="6969D5BF" w14:textId="77777777" w:rsidR="001B7B3B" w:rsidRPr="00E97E0B" w:rsidRDefault="001B7B3B" w:rsidP="008C7334">
      <w:pPr>
        <w:jc w:val="center"/>
        <w:rPr>
          <w:rFonts w:ascii="Book Antiqua" w:hAnsi="Book Antiqua"/>
          <w:color w:val="767171" w:themeColor="background2" w:themeShade="80"/>
          <w:sz w:val="24"/>
          <w:szCs w:val="24"/>
        </w:rPr>
      </w:pPr>
    </w:p>
    <w:p w14:paraId="1C39F6DA" w14:textId="77777777" w:rsidR="009910AE" w:rsidRPr="00E97E0B" w:rsidRDefault="009910AE" w:rsidP="008C7334">
      <w:pPr>
        <w:jc w:val="center"/>
        <w:rPr>
          <w:rFonts w:ascii="Book Antiqua" w:hAnsi="Book Antiqua"/>
          <w:color w:val="767171" w:themeColor="background2" w:themeShade="80"/>
          <w:sz w:val="32"/>
          <w:szCs w:val="32"/>
        </w:rPr>
      </w:pPr>
    </w:p>
    <w:p w14:paraId="76BFC356" w14:textId="77777777" w:rsidR="001B7B3B" w:rsidRPr="00E97E0B" w:rsidRDefault="001B7B3B" w:rsidP="008C7334">
      <w:pPr>
        <w:jc w:val="center"/>
        <w:rPr>
          <w:rFonts w:ascii="Book Antiqua" w:hAnsi="Book Antiqua"/>
          <w:color w:val="767171" w:themeColor="background2" w:themeShade="80"/>
          <w:sz w:val="24"/>
          <w:szCs w:val="24"/>
        </w:rPr>
      </w:pPr>
    </w:p>
    <w:p w14:paraId="4F96822E" w14:textId="77777777" w:rsidR="007446BB" w:rsidRPr="00E97E0B" w:rsidRDefault="007446BB" w:rsidP="007446BB">
      <w:pPr>
        <w:jc w:val="center"/>
        <w:rPr>
          <w:rFonts w:ascii="Book Antiqua" w:hAnsi="Book Antiqua"/>
          <w:b/>
          <w:color w:val="767171" w:themeColor="background2" w:themeShade="80"/>
          <w:sz w:val="32"/>
          <w:szCs w:val="28"/>
        </w:rPr>
      </w:pPr>
      <w:r w:rsidRPr="00E97E0B">
        <w:rPr>
          <w:rFonts w:ascii="Book Antiqua" w:hAnsi="Book Antiqua"/>
          <w:b/>
          <w:color w:val="767171" w:themeColor="background2" w:themeShade="80"/>
          <w:sz w:val="32"/>
          <w:szCs w:val="28"/>
        </w:rPr>
        <w:t xml:space="preserve">Türkiye ve Fransa’da Siyasal Söylem: </w:t>
      </w:r>
    </w:p>
    <w:p w14:paraId="5C0D0B95" w14:textId="7F93EF92" w:rsidR="007446BB" w:rsidRPr="00E97E0B" w:rsidRDefault="007446BB" w:rsidP="007446BB">
      <w:pPr>
        <w:jc w:val="center"/>
        <w:rPr>
          <w:rFonts w:ascii="Book Antiqua" w:hAnsi="Book Antiqua"/>
          <w:b/>
          <w:color w:val="767171" w:themeColor="background2" w:themeShade="80"/>
          <w:sz w:val="32"/>
          <w:szCs w:val="28"/>
        </w:rPr>
      </w:pPr>
      <w:r w:rsidRPr="00E97E0B">
        <w:rPr>
          <w:rFonts w:ascii="Book Antiqua" w:hAnsi="Book Antiqua"/>
          <w:b/>
          <w:color w:val="767171" w:themeColor="background2" w:themeShade="80"/>
          <w:sz w:val="32"/>
          <w:szCs w:val="28"/>
        </w:rPr>
        <w:t>“Öteki”</w:t>
      </w:r>
      <w:r w:rsidR="00F81626" w:rsidRPr="00E97E0B">
        <w:rPr>
          <w:rFonts w:ascii="Book Antiqua" w:hAnsi="Book Antiqua"/>
          <w:b/>
          <w:color w:val="767171" w:themeColor="background2" w:themeShade="80"/>
          <w:sz w:val="32"/>
          <w:szCs w:val="28"/>
        </w:rPr>
        <w:t>n</w:t>
      </w:r>
      <w:r w:rsidRPr="00E97E0B">
        <w:rPr>
          <w:rFonts w:ascii="Book Antiqua" w:hAnsi="Book Antiqua"/>
          <w:b/>
          <w:color w:val="767171" w:themeColor="background2" w:themeShade="80"/>
          <w:sz w:val="32"/>
          <w:szCs w:val="28"/>
        </w:rPr>
        <w:t>in İnşası (2007-2012)</w:t>
      </w:r>
    </w:p>
    <w:p w14:paraId="17797C44" w14:textId="77777777" w:rsidR="009910AE" w:rsidRPr="00E97E0B" w:rsidRDefault="009910AE" w:rsidP="00C0718E">
      <w:pPr>
        <w:jc w:val="center"/>
        <w:rPr>
          <w:rFonts w:ascii="Book Antiqua" w:hAnsi="Book Antiqua"/>
          <w:color w:val="767171" w:themeColor="background2" w:themeShade="80"/>
          <w:sz w:val="24"/>
          <w:szCs w:val="24"/>
        </w:rPr>
      </w:pPr>
    </w:p>
    <w:p w14:paraId="2AA10CE1" w14:textId="77777777" w:rsidR="00D35139" w:rsidRPr="00E97E0B" w:rsidRDefault="00D35139" w:rsidP="00C0718E">
      <w:pPr>
        <w:jc w:val="center"/>
        <w:rPr>
          <w:rFonts w:ascii="Book Antiqua" w:hAnsi="Book Antiqua"/>
          <w:color w:val="767171" w:themeColor="background2" w:themeShade="80"/>
          <w:sz w:val="24"/>
          <w:szCs w:val="24"/>
        </w:rPr>
      </w:pPr>
    </w:p>
    <w:p w14:paraId="7F77D4D9" w14:textId="234F5AED" w:rsidR="00C0718E" w:rsidRPr="00E97E0B" w:rsidRDefault="007446BB" w:rsidP="00B1679C">
      <w:pPr>
        <w:spacing w:after="0" w:line="360" w:lineRule="auto"/>
        <w:jc w:val="center"/>
        <w:rPr>
          <w:rFonts w:ascii="Book Antiqua" w:hAnsi="Book Antiqua"/>
          <w:color w:val="767171" w:themeColor="background2" w:themeShade="80"/>
          <w:sz w:val="28"/>
          <w:szCs w:val="28"/>
        </w:rPr>
      </w:pPr>
      <w:r w:rsidRPr="00E97E0B">
        <w:rPr>
          <w:rFonts w:ascii="Book Antiqua" w:hAnsi="Book Antiqua"/>
          <w:color w:val="767171" w:themeColor="background2" w:themeShade="80"/>
          <w:sz w:val="28"/>
          <w:szCs w:val="28"/>
        </w:rPr>
        <w:t>Doktora</w:t>
      </w:r>
      <w:r w:rsidR="00C0718E" w:rsidRPr="00E97E0B">
        <w:rPr>
          <w:rFonts w:ascii="Book Antiqua" w:hAnsi="Book Antiqua"/>
          <w:color w:val="767171" w:themeColor="background2" w:themeShade="80"/>
          <w:sz w:val="28"/>
          <w:szCs w:val="28"/>
        </w:rPr>
        <w:t xml:space="preserve"> Tezi</w:t>
      </w:r>
    </w:p>
    <w:p w14:paraId="332D831E" w14:textId="16AA5103" w:rsidR="00C0718E" w:rsidRPr="00E97E0B" w:rsidRDefault="007446BB" w:rsidP="00C0718E">
      <w:pPr>
        <w:jc w:val="center"/>
        <w:rPr>
          <w:rFonts w:ascii="Book Antiqua" w:hAnsi="Book Antiqua"/>
          <w:b/>
          <w:color w:val="767171" w:themeColor="background2" w:themeShade="80"/>
          <w:sz w:val="36"/>
          <w:szCs w:val="36"/>
        </w:rPr>
      </w:pPr>
      <w:r w:rsidRPr="00E97E0B">
        <w:rPr>
          <w:rFonts w:ascii="Book Antiqua" w:hAnsi="Book Antiqua"/>
          <w:b/>
          <w:color w:val="767171" w:themeColor="background2" w:themeShade="80"/>
          <w:sz w:val="36"/>
          <w:szCs w:val="36"/>
        </w:rPr>
        <w:t>Cemal Cem Anarat</w:t>
      </w:r>
    </w:p>
    <w:p w14:paraId="740BDA28" w14:textId="77777777" w:rsidR="00C0718E" w:rsidRPr="00E97E0B" w:rsidRDefault="00C0718E" w:rsidP="00C0718E">
      <w:pPr>
        <w:jc w:val="center"/>
        <w:rPr>
          <w:rFonts w:ascii="Book Antiqua" w:hAnsi="Book Antiqua"/>
          <w:color w:val="767171" w:themeColor="background2" w:themeShade="80"/>
          <w:sz w:val="24"/>
          <w:szCs w:val="24"/>
        </w:rPr>
      </w:pPr>
    </w:p>
    <w:p w14:paraId="05BD1C95" w14:textId="77777777" w:rsidR="00D35139" w:rsidRPr="00E97E0B" w:rsidRDefault="00D35139" w:rsidP="00C0718E">
      <w:pPr>
        <w:jc w:val="center"/>
        <w:rPr>
          <w:rFonts w:ascii="Book Antiqua" w:hAnsi="Book Antiqua"/>
          <w:color w:val="767171" w:themeColor="background2" w:themeShade="80"/>
          <w:sz w:val="24"/>
          <w:szCs w:val="24"/>
        </w:rPr>
      </w:pPr>
    </w:p>
    <w:p w14:paraId="42FE30E8" w14:textId="77777777" w:rsidR="003D6AD2" w:rsidRPr="00E97E0B" w:rsidRDefault="003D6AD2" w:rsidP="00C0718E">
      <w:pPr>
        <w:jc w:val="center"/>
        <w:rPr>
          <w:rFonts w:ascii="Book Antiqua" w:hAnsi="Book Antiqua"/>
          <w:color w:val="767171" w:themeColor="background2" w:themeShade="80"/>
          <w:sz w:val="24"/>
          <w:szCs w:val="24"/>
        </w:rPr>
      </w:pPr>
    </w:p>
    <w:p w14:paraId="72E183F4" w14:textId="77777777" w:rsidR="007616FE" w:rsidRPr="00E97E0B" w:rsidRDefault="007616FE" w:rsidP="007446BB">
      <w:pPr>
        <w:rPr>
          <w:rFonts w:ascii="Book Antiqua" w:hAnsi="Book Antiqua"/>
          <w:color w:val="767171" w:themeColor="background2" w:themeShade="80"/>
          <w:sz w:val="24"/>
          <w:szCs w:val="24"/>
        </w:rPr>
      </w:pPr>
    </w:p>
    <w:p w14:paraId="509026DE" w14:textId="77777777" w:rsidR="007616FE" w:rsidRPr="00E97E0B" w:rsidRDefault="007616FE" w:rsidP="00C0718E">
      <w:pPr>
        <w:jc w:val="center"/>
        <w:rPr>
          <w:rFonts w:ascii="Book Antiqua" w:hAnsi="Book Antiqua"/>
          <w:color w:val="767171" w:themeColor="background2" w:themeShade="80"/>
          <w:sz w:val="24"/>
          <w:szCs w:val="24"/>
        </w:rPr>
      </w:pPr>
    </w:p>
    <w:p w14:paraId="452FFCF9" w14:textId="77777777" w:rsidR="0047196E" w:rsidRPr="00E97E0B" w:rsidRDefault="0047196E" w:rsidP="00C0718E">
      <w:pPr>
        <w:jc w:val="center"/>
        <w:rPr>
          <w:rFonts w:ascii="Book Antiqua" w:hAnsi="Book Antiqua"/>
          <w:color w:val="767171" w:themeColor="background2" w:themeShade="80"/>
          <w:sz w:val="24"/>
          <w:szCs w:val="24"/>
        </w:rPr>
      </w:pPr>
    </w:p>
    <w:p w14:paraId="5D08ACA1" w14:textId="0FBA67B5" w:rsidR="000D1867" w:rsidRPr="00E97E0B" w:rsidRDefault="009B4563" w:rsidP="000D1867">
      <w:pPr>
        <w:spacing w:after="120"/>
        <w:jc w:val="center"/>
        <w:rPr>
          <w:rFonts w:ascii="Book Antiqua" w:hAnsi="Book Antiqua"/>
          <w:color w:val="767171" w:themeColor="background2" w:themeShade="80"/>
          <w:sz w:val="32"/>
          <w:szCs w:val="32"/>
        </w:rPr>
      </w:pPr>
      <w:r w:rsidRPr="00E97E0B">
        <w:rPr>
          <w:rFonts w:ascii="Book Antiqua" w:hAnsi="Book Antiqua"/>
          <w:color w:val="767171" w:themeColor="background2" w:themeShade="80"/>
          <w:sz w:val="28"/>
          <w:szCs w:val="28"/>
        </w:rPr>
        <w:t>Temmuz</w:t>
      </w:r>
      <w:r w:rsidR="007616FE" w:rsidRPr="00E97E0B">
        <w:rPr>
          <w:rFonts w:ascii="Book Antiqua" w:hAnsi="Book Antiqua"/>
          <w:color w:val="767171" w:themeColor="background2" w:themeShade="80"/>
          <w:sz w:val="28"/>
          <w:szCs w:val="28"/>
        </w:rPr>
        <w:t xml:space="preserve"> </w:t>
      </w:r>
      <w:r w:rsidR="00EB55D3" w:rsidRPr="00E97E0B">
        <w:rPr>
          <w:rFonts w:ascii="Book Antiqua" w:hAnsi="Book Antiqua"/>
          <w:color w:val="767171" w:themeColor="background2" w:themeShade="80"/>
          <w:sz w:val="28"/>
          <w:szCs w:val="28"/>
        </w:rPr>
        <w:t>2</w:t>
      </w:r>
      <w:r w:rsidR="007446BB" w:rsidRPr="00E97E0B">
        <w:rPr>
          <w:rFonts w:ascii="Book Antiqua" w:hAnsi="Book Antiqua"/>
          <w:color w:val="767171" w:themeColor="background2" w:themeShade="80"/>
          <w:sz w:val="28"/>
          <w:szCs w:val="28"/>
        </w:rPr>
        <w:t>023</w:t>
      </w:r>
      <w:r w:rsidR="001B7B3B" w:rsidRPr="00E97E0B">
        <w:rPr>
          <w:rFonts w:ascii="Book Antiqua" w:hAnsi="Book Antiqua"/>
          <w:color w:val="767171" w:themeColor="background2" w:themeShade="80"/>
          <w:sz w:val="32"/>
          <w:szCs w:val="32"/>
        </w:rPr>
        <w:br w:type="page"/>
      </w:r>
    </w:p>
    <w:p w14:paraId="30D383F7" w14:textId="77777777" w:rsidR="00EB55D3" w:rsidRPr="00E97E0B" w:rsidRDefault="00EB55D3" w:rsidP="00F6265F">
      <w:pPr>
        <w:spacing w:after="80"/>
        <w:jc w:val="center"/>
        <w:rPr>
          <w:rFonts w:ascii="Book Antiqua" w:hAnsi="Book Antiqua"/>
          <w:color w:val="767171" w:themeColor="background2" w:themeShade="80"/>
          <w:sz w:val="28"/>
          <w:szCs w:val="28"/>
        </w:rPr>
      </w:pPr>
      <w:r w:rsidRPr="00E97E0B">
        <w:rPr>
          <w:rFonts w:ascii="Book Antiqua" w:hAnsi="Book Antiqua"/>
          <w:noProof/>
          <w:sz w:val="48"/>
          <w:szCs w:val="48"/>
          <w:lang w:eastAsia="tr-TR"/>
        </w:rPr>
        <w:lastRenderedPageBreak/>
        <w:drawing>
          <wp:inline distT="0" distB="0" distL="0" distR="0" wp14:anchorId="2B19244E" wp14:editId="7E928E36">
            <wp:extent cx="4108450" cy="1727200"/>
            <wp:effectExtent l="0" t="0" r="6350" b="6350"/>
            <wp:docPr id="2" name="Resim 2"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3D7A6EA7" w14:textId="74116D54" w:rsidR="006C008B" w:rsidRPr="00E97E0B" w:rsidRDefault="002858AE" w:rsidP="006C008B">
      <w:pPr>
        <w:spacing w:after="0"/>
        <w:jc w:val="center"/>
        <w:rPr>
          <w:rFonts w:ascii="Book Antiqua" w:hAnsi="Book Antiqua"/>
          <w:color w:val="767171" w:themeColor="background2" w:themeShade="80"/>
          <w:sz w:val="28"/>
          <w:szCs w:val="28"/>
        </w:rPr>
      </w:pPr>
      <w:r w:rsidRPr="00E97E0B">
        <w:rPr>
          <w:rFonts w:ascii="Book Antiqua" w:hAnsi="Book Antiqua"/>
          <w:color w:val="767171" w:themeColor="background2" w:themeShade="80"/>
          <w:sz w:val="28"/>
          <w:szCs w:val="28"/>
        </w:rPr>
        <w:t xml:space="preserve">SİYASET BİLİMİ VE KAMU YÖNETİMİ </w:t>
      </w:r>
      <w:r w:rsidR="006C008B" w:rsidRPr="00E97E0B">
        <w:rPr>
          <w:rFonts w:ascii="Book Antiqua" w:hAnsi="Book Antiqua"/>
          <w:color w:val="767171" w:themeColor="background2" w:themeShade="80"/>
          <w:sz w:val="28"/>
          <w:szCs w:val="28"/>
        </w:rPr>
        <w:t>ANABİLİM DALI</w:t>
      </w:r>
    </w:p>
    <w:p w14:paraId="1CF3C0EE" w14:textId="77777777" w:rsidR="006C008B" w:rsidRPr="00E97E0B" w:rsidRDefault="006C008B" w:rsidP="006C008B">
      <w:pPr>
        <w:jc w:val="center"/>
        <w:rPr>
          <w:rFonts w:ascii="Book Antiqua" w:hAnsi="Book Antiqua"/>
          <w:color w:val="767171" w:themeColor="background2" w:themeShade="80"/>
          <w:sz w:val="24"/>
          <w:szCs w:val="24"/>
        </w:rPr>
      </w:pPr>
    </w:p>
    <w:p w14:paraId="4E3D3025" w14:textId="77777777" w:rsidR="006C008B" w:rsidRPr="00E97E0B" w:rsidRDefault="006C008B" w:rsidP="006C008B">
      <w:pPr>
        <w:jc w:val="center"/>
        <w:rPr>
          <w:rFonts w:ascii="Book Antiqua" w:hAnsi="Book Antiqua"/>
          <w:color w:val="767171" w:themeColor="background2" w:themeShade="80"/>
          <w:sz w:val="24"/>
          <w:szCs w:val="24"/>
        </w:rPr>
      </w:pPr>
    </w:p>
    <w:p w14:paraId="1C6CD270" w14:textId="77777777" w:rsidR="00286CDB" w:rsidRPr="00E97E0B" w:rsidRDefault="00286CDB" w:rsidP="006C008B">
      <w:pPr>
        <w:jc w:val="center"/>
        <w:rPr>
          <w:rFonts w:ascii="Book Antiqua" w:hAnsi="Book Antiqua"/>
          <w:color w:val="767171" w:themeColor="background2" w:themeShade="80"/>
          <w:sz w:val="32"/>
          <w:szCs w:val="32"/>
        </w:rPr>
      </w:pPr>
    </w:p>
    <w:p w14:paraId="15D1C1BF" w14:textId="77777777" w:rsidR="006C008B" w:rsidRPr="00E97E0B" w:rsidRDefault="006C008B" w:rsidP="006C008B">
      <w:pPr>
        <w:jc w:val="center"/>
        <w:rPr>
          <w:rFonts w:ascii="Book Antiqua" w:hAnsi="Book Antiqua"/>
          <w:color w:val="767171" w:themeColor="background2" w:themeShade="80"/>
          <w:sz w:val="24"/>
          <w:szCs w:val="24"/>
        </w:rPr>
      </w:pPr>
    </w:p>
    <w:p w14:paraId="61C5C900" w14:textId="41F290C7" w:rsidR="004E3B55" w:rsidRPr="00E97E0B" w:rsidRDefault="004E3B55" w:rsidP="004E3B55">
      <w:pPr>
        <w:jc w:val="center"/>
        <w:rPr>
          <w:rFonts w:ascii="Book Antiqua" w:hAnsi="Book Antiqua"/>
          <w:b/>
          <w:color w:val="767171" w:themeColor="background2" w:themeShade="80"/>
          <w:sz w:val="32"/>
          <w:szCs w:val="28"/>
        </w:rPr>
      </w:pPr>
      <w:r w:rsidRPr="00E97E0B">
        <w:rPr>
          <w:rFonts w:ascii="Book Antiqua" w:hAnsi="Book Antiqua"/>
          <w:b/>
          <w:color w:val="767171" w:themeColor="background2" w:themeShade="80"/>
          <w:sz w:val="32"/>
          <w:szCs w:val="28"/>
        </w:rPr>
        <w:t xml:space="preserve">Türkiye ve Fransa’da Siyasal Söylem: </w:t>
      </w:r>
    </w:p>
    <w:p w14:paraId="301E6E75" w14:textId="748657FC" w:rsidR="006C008B" w:rsidRPr="00E97E0B" w:rsidRDefault="004E3B55" w:rsidP="004E3B55">
      <w:pPr>
        <w:jc w:val="center"/>
        <w:rPr>
          <w:rFonts w:ascii="Book Antiqua" w:hAnsi="Book Antiqua"/>
          <w:b/>
          <w:color w:val="767171" w:themeColor="background2" w:themeShade="80"/>
          <w:sz w:val="32"/>
          <w:szCs w:val="28"/>
        </w:rPr>
      </w:pPr>
      <w:r w:rsidRPr="00E97E0B">
        <w:rPr>
          <w:rFonts w:ascii="Book Antiqua" w:hAnsi="Book Antiqua"/>
          <w:b/>
          <w:color w:val="767171" w:themeColor="background2" w:themeShade="80"/>
          <w:sz w:val="32"/>
          <w:szCs w:val="28"/>
        </w:rPr>
        <w:t>“Öteki”</w:t>
      </w:r>
      <w:r w:rsidR="00386525" w:rsidRPr="00E97E0B">
        <w:rPr>
          <w:rFonts w:ascii="Book Antiqua" w:hAnsi="Book Antiqua"/>
          <w:b/>
          <w:color w:val="767171" w:themeColor="background2" w:themeShade="80"/>
          <w:sz w:val="32"/>
          <w:szCs w:val="28"/>
        </w:rPr>
        <w:t>n</w:t>
      </w:r>
      <w:r w:rsidRPr="00E97E0B">
        <w:rPr>
          <w:rFonts w:ascii="Book Antiqua" w:hAnsi="Book Antiqua"/>
          <w:b/>
          <w:color w:val="767171" w:themeColor="background2" w:themeShade="80"/>
          <w:sz w:val="32"/>
          <w:szCs w:val="28"/>
        </w:rPr>
        <w:t>in İnşası (2007-2012)</w:t>
      </w:r>
    </w:p>
    <w:p w14:paraId="5569C8BA" w14:textId="77777777" w:rsidR="004E3B55" w:rsidRPr="00E97E0B" w:rsidRDefault="004E3B55" w:rsidP="004E3B55">
      <w:pPr>
        <w:jc w:val="center"/>
        <w:rPr>
          <w:rFonts w:ascii="Book Antiqua" w:hAnsi="Book Antiqua"/>
          <w:b/>
          <w:color w:val="767171" w:themeColor="background2" w:themeShade="80"/>
          <w:sz w:val="32"/>
          <w:szCs w:val="28"/>
        </w:rPr>
      </w:pPr>
    </w:p>
    <w:p w14:paraId="66E295FE" w14:textId="77777777" w:rsidR="004E3B55" w:rsidRPr="00E97E0B" w:rsidRDefault="004E3B55" w:rsidP="004E3B55">
      <w:pPr>
        <w:jc w:val="center"/>
        <w:rPr>
          <w:rFonts w:ascii="Book Antiqua" w:hAnsi="Book Antiqua"/>
          <w:color w:val="767171" w:themeColor="background2" w:themeShade="80"/>
          <w:sz w:val="24"/>
          <w:szCs w:val="24"/>
        </w:rPr>
      </w:pPr>
    </w:p>
    <w:p w14:paraId="1A805A38" w14:textId="429016CE" w:rsidR="006C008B" w:rsidRPr="00E97E0B" w:rsidRDefault="004E3B55" w:rsidP="00B1679C">
      <w:pPr>
        <w:spacing w:after="0" w:line="360" w:lineRule="auto"/>
        <w:jc w:val="center"/>
        <w:rPr>
          <w:rFonts w:ascii="Book Antiqua" w:hAnsi="Book Antiqua"/>
          <w:color w:val="767171" w:themeColor="background2" w:themeShade="80"/>
          <w:sz w:val="28"/>
          <w:szCs w:val="28"/>
        </w:rPr>
      </w:pPr>
      <w:r w:rsidRPr="00E97E0B">
        <w:rPr>
          <w:rFonts w:ascii="Book Antiqua" w:hAnsi="Book Antiqua"/>
          <w:color w:val="767171" w:themeColor="background2" w:themeShade="80"/>
          <w:sz w:val="28"/>
          <w:szCs w:val="28"/>
        </w:rPr>
        <w:t>Doktora</w:t>
      </w:r>
      <w:r w:rsidR="006C008B" w:rsidRPr="00E97E0B">
        <w:rPr>
          <w:rFonts w:ascii="Book Antiqua" w:hAnsi="Book Antiqua"/>
          <w:color w:val="767171" w:themeColor="background2" w:themeShade="80"/>
          <w:sz w:val="28"/>
          <w:szCs w:val="28"/>
        </w:rPr>
        <w:t xml:space="preserve"> Tezi</w:t>
      </w:r>
    </w:p>
    <w:p w14:paraId="4911D668" w14:textId="05BCDFFD" w:rsidR="006C008B" w:rsidRPr="00E97E0B" w:rsidRDefault="004E3B55" w:rsidP="006C008B">
      <w:pPr>
        <w:jc w:val="center"/>
        <w:rPr>
          <w:rFonts w:ascii="Book Antiqua" w:hAnsi="Book Antiqua"/>
          <w:b/>
          <w:color w:val="767171" w:themeColor="background2" w:themeShade="80"/>
          <w:sz w:val="36"/>
          <w:szCs w:val="36"/>
        </w:rPr>
      </w:pPr>
      <w:r w:rsidRPr="00E97E0B">
        <w:rPr>
          <w:rFonts w:ascii="Book Antiqua" w:hAnsi="Book Antiqua"/>
          <w:b/>
          <w:color w:val="767171" w:themeColor="background2" w:themeShade="80"/>
          <w:sz w:val="36"/>
          <w:szCs w:val="36"/>
        </w:rPr>
        <w:t>Cemal Cem Anarat</w:t>
      </w:r>
    </w:p>
    <w:p w14:paraId="62AF8A63" w14:textId="77777777" w:rsidR="006C008B" w:rsidRPr="00E97E0B" w:rsidRDefault="006C008B" w:rsidP="002858AE">
      <w:pPr>
        <w:rPr>
          <w:rFonts w:ascii="Book Antiqua" w:hAnsi="Book Antiqua"/>
          <w:color w:val="767171" w:themeColor="background2" w:themeShade="80"/>
          <w:sz w:val="24"/>
          <w:szCs w:val="24"/>
        </w:rPr>
      </w:pPr>
    </w:p>
    <w:p w14:paraId="035CDEC5" w14:textId="77777777" w:rsidR="006C008B" w:rsidRPr="00E97E0B" w:rsidRDefault="006C008B" w:rsidP="006C008B">
      <w:pPr>
        <w:jc w:val="center"/>
        <w:rPr>
          <w:rFonts w:ascii="Book Antiqua" w:hAnsi="Book Antiqua"/>
          <w:color w:val="767171" w:themeColor="background2" w:themeShade="80"/>
          <w:sz w:val="24"/>
          <w:szCs w:val="24"/>
        </w:rPr>
      </w:pPr>
    </w:p>
    <w:p w14:paraId="1CDAE723" w14:textId="77777777" w:rsidR="006C008B" w:rsidRPr="00E97E0B" w:rsidRDefault="006C008B" w:rsidP="00B1679C">
      <w:pPr>
        <w:spacing w:after="0" w:line="360" w:lineRule="auto"/>
        <w:jc w:val="center"/>
        <w:rPr>
          <w:rFonts w:ascii="Book Antiqua" w:hAnsi="Book Antiqua"/>
          <w:color w:val="767171" w:themeColor="background2" w:themeShade="80"/>
          <w:sz w:val="28"/>
          <w:szCs w:val="28"/>
        </w:rPr>
      </w:pPr>
      <w:r w:rsidRPr="00E97E0B">
        <w:rPr>
          <w:rFonts w:ascii="Book Antiqua" w:hAnsi="Book Antiqua"/>
          <w:color w:val="767171" w:themeColor="background2" w:themeShade="80"/>
          <w:sz w:val="28"/>
          <w:szCs w:val="28"/>
        </w:rPr>
        <w:t>Danışman</w:t>
      </w:r>
    </w:p>
    <w:p w14:paraId="14E1ECB4" w14:textId="503DAF3F" w:rsidR="006C008B" w:rsidRPr="00E97E0B" w:rsidRDefault="004E3B55" w:rsidP="006C008B">
      <w:pPr>
        <w:jc w:val="center"/>
        <w:rPr>
          <w:rFonts w:ascii="Book Antiqua" w:hAnsi="Book Antiqua"/>
          <w:b/>
          <w:color w:val="767171" w:themeColor="background2" w:themeShade="80"/>
          <w:sz w:val="36"/>
          <w:szCs w:val="36"/>
        </w:rPr>
      </w:pPr>
      <w:r w:rsidRPr="00E97E0B">
        <w:rPr>
          <w:rFonts w:ascii="Book Antiqua" w:hAnsi="Book Antiqua"/>
          <w:b/>
          <w:color w:val="767171" w:themeColor="background2" w:themeShade="80"/>
          <w:sz w:val="36"/>
          <w:szCs w:val="36"/>
        </w:rPr>
        <w:t>Doç. Dr. İdil Tunçer Kılavuz</w:t>
      </w:r>
    </w:p>
    <w:p w14:paraId="797CAF87" w14:textId="77777777" w:rsidR="00BA7084" w:rsidRPr="00E97E0B" w:rsidRDefault="00BA7084" w:rsidP="006C008B">
      <w:pPr>
        <w:jc w:val="center"/>
        <w:rPr>
          <w:rFonts w:ascii="Book Antiqua" w:hAnsi="Book Antiqua"/>
          <w:color w:val="767171" w:themeColor="background2" w:themeShade="80"/>
          <w:sz w:val="24"/>
          <w:szCs w:val="24"/>
        </w:rPr>
      </w:pPr>
    </w:p>
    <w:p w14:paraId="25D2C4C5" w14:textId="77777777" w:rsidR="004E3B55" w:rsidRPr="00E97E0B" w:rsidRDefault="004E3B55" w:rsidP="0076393A">
      <w:pPr>
        <w:rPr>
          <w:rFonts w:ascii="Book Antiqua" w:hAnsi="Book Antiqua"/>
          <w:color w:val="767171" w:themeColor="background2" w:themeShade="80"/>
          <w:sz w:val="28"/>
          <w:szCs w:val="28"/>
        </w:rPr>
      </w:pPr>
    </w:p>
    <w:p w14:paraId="40E63B00" w14:textId="77777777" w:rsidR="0045617F" w:rsidRDefault="009B4563" w:rsidP="006C008B">
      <w:pPr>
        <w:spacing w:after="120"/>
        <w:jc w:val="center"/>
        <w:rPr>
          <w:rFonts w:ascii="Book Antiqua" w:hAnsi="Book Antiqua"/>
          <w:color w:val="767171" w:themeColor="background2" w:themeShade="80"/>
          <w:sz w:val="28"/>
          <w:szCs w:val="28"/>
        </w:rPr>
        <w:sectPr w:rsidR="0045617F" w:rsidSect="0023531C">
          <w:footerReference w:type="default" r:id="rId9"/>
          <w:type w:val="continuous"/>
          <w:pgSz w:w="11906" w:h="16838"/>
          <w:pgMar w:top="1418" w:right="1701" w:bottom="1418" w:left="1985" w:header="720" w:footer="720" w:gutter="0"/>
          <w:pgNumType w:fmt="lowerRoman" w:start="1"/>
          <w:cols w:space="720"/>
          <w:docGrid w:linePitch="360"/>
        </w:sectPr>
      </w:pPr>
      <w:r w:rsidRPr="00E97E0B">
        <w:rPr>
          <w:rFonts w:ascii="Book Antiqua" w:hAnsi="Book Antiqua"/>
          <w:color w:val="767171" w:themeColor="background2" w:themeShade="80"/>
          <w:sz w:val="28"/>
          <w:szCs w:val="28"/>
        </w:rPr>
        <w:t>Temmuz</w:t>
      </w:r>
      <w:r w:rsidR="006C008B" w:rsidRPr="00E97E0B">
        <w:rPr>
          <w:rFonts w:ascii="Book Antiqua" w:hAnsi="Book Antiqua"/>
          <w:color w:val="767171" w:themeColor="background2" w:themeShade="80"/>
          <w:sz w:val="28"/>
          <w:szCs w:val="28"/>
        </w:rPr>
        <w:t xml:space="preserve"> </w:t>
      </w:r>
      <w:r w:rsidR="00EB55D3" w:rsidRPr="00E97E0B">
        <w:rPr>
          <w:rFonts w:ascii="Book Antiqua" w:hAnsi="Book Antiqua"/>
          <w:color w:val="767171" w:themeColor="background2" w:themeShade="80"/>
          <w:sz w:val="28"/>
          <w:szCs w:val="28"/>
        </w:rPr>
        <w:t>20</w:t>
      </w:r>
      <w:r w:rsidR="004E3B55" w:rsidRPr="00E97E0B">
        <w:rPr>
          <w:rFonts w:ascii="Book Antiqua" w:hAnsi="Book Antiqua"/>
          <w:color w:val="767171" w:themeColor="background2" w:themeShade="80"/>
          <w:sz w:val="28"/>
          <w:szCs w:val="28"/>
        </w:rPr>
        <w:t>23</w:t>
      </w:r>
    </w:p>
    <w:p w14:paraId="3F66C016" w14:textId="5B7253ED" w:rsidR="006C008B" w:rsidRDefault="006C008B" w:rsidP="006C008B">
      <w:pPr>
        <w:spacing w:after="120"/>
        <w:jc w:val="center"/>
        <w:rPr>
          <w:rFonts w:ascii="Book Antiqua" w:hAnsi="Book Antiqua"/>
          <w:color w:val="767171" w:themeColor="background2" w:themeShade="80"/>
          <w:sz w:val="32"/>
          <w:szCs w:val="32"/>
        </w:rPr>
      </w:pPr>
    </w:p>
    <w:p w14:paraId="4C0A9EA3" w14:textId="4E74B080" w:rsidR="0045617F" w:rsidRDefault="0045617F" w:rsidP="006C008B">
      <w:pPr>
        <w:spacing w:after="120"/>
        <w:jc w:val="center"/>
        <w:rPr>
          <w:rFonts w:ascii="Book Antiqua" w:hAnsi="Book Antiqua"/>
          <w:color w:val="767171" w:themeColor="background2" w:themeShade="80"/>
          <w:sz w:val="32"/>
          <w:szCs w:val="32"/>
        </w:rPr>
      </w:pPr>
    </w:p>
    <w:p w14:paraId="6DA3FDCE" w14:textId="77777777" w:rsidR="0045617F" w:rsidRPr="00E97E0B" w:rsidRDefault="0045617F" w:rsidP="006C008B">
      <w:pPr>
        <w:spacing w:after="120"/>
        <w:jc w:val="center"/>
        <w:rPr>
          <w:rFonts w:ascii="Book Antiqua" w:hAnsi="Book Antiqua"/>
          <w:color w:val="767171" w:themeColor="background2" w:themeShade="80"/>
          <w:sz w:val="32"/>
          <w:szCs w:val="32"/>
        </w:rPr>
      </w:pPr>
    </w:p>
    <w:p w14:paraId="63E3D126" w14:textId="77777777" w:rsidR="00CA4613" w:rsidRPr="00E97E0B" w:rsidRDefault="00CA4613" w:rsidP="00CA4613">
      <w:pPr>
        <w:jc w:val="center"/>
        <w:rPr>
          <w:rFonts w:ascii="Book Antiqua" w:hAnsi="Book Antiqua" w:cs="Arial"/>
          <w:b/>
          <w:bCs/>
          <w:sz w:val="28"/>
          <w:szCs w:val="24"/>
        </w:rPr>
      </w:pPr>
      <w:r w:rsidRPr="00E97E0B">
        <w:rPr>
          <w:rFonts w:ascii="Book Antiqua" w:hAnsi="Book Antiqua" w:cs="Arial"/>
          <w:b/>
          <w:bCs/>
          <w:sz w:val="28"/>
          <w:szCs w:val="24"/>
        </w:rPr>
        <w:lastRenderedPageBreak/>
        <w:t>TEZ JÜRİSİ ONAYI</w:t>
      </w:r>
    </w:p>
    <w:p w14:paraId="35DB91BF" w14:textId="77777777" w:rsidR="00CA4613" w:rsidRPr="00E97E0B" w:rsidRDefault="00CA4613" w:rsidP="00CA4613">
      <w:pPr>
        <w:rPr>
          <w:rFonts w:ascii="Book Antiqua" w:hAnsi="Book Antiqua" w:cs="Arial"/>
          <w:bCs/>
          <w:sz w:val="24"/>
          <w:szCs w:val="24"/>
        </w:rPr>
      </w:pPr>
    </w:p>
    <w:p w14:paraId="51B2718E" w14:textId="50546A8A" w:rsidR="004E3B55" w:rsidRPr="00E97E0B" w:rsidRDefault="004E3B55" w:rsidP="004E3B55">
      <w:pPr>
        <w:rPr>
          <w:rFonts w:ascii="Book Antiqua" w:hAnsi="Book Antiqua"/>
          <w:sz w:val="24"/>
          <w:szCs w:val="24"/>
        </w:rPr>
      </w:pPr>
      <w:r w:rsidRPr="00E97E0B">
        <w:rPr>
          <w:rFonts w:ascii="Book Antiqua" w:hAnsi="Book Antiqua"/>
          <w:sz w:val="24"/>
          <w:szCs w:val="24"/>
        </w:rPr>
        <w:t>CEMAL CEM ANARAT tarafından hazırlanan “Türkiye ve Fransa’da Siyasal Söylem: “Öteki”nin İnşası</w:t>
      </w:r>
      <w:r w:rsidR="00413445" w:rsidRPr="00E97E0B">
        <w:rPr>
          <w:rFonts w:ascii="Book Antiqua" w:hAnsi="Book Antiqua"/>
          <w:sz w:val="24"/>
          <w:szCs w:val="24"/>
        </w:rPr>
        <w:t xml:space="preserve"> (2007-2012)</w:t>
      </w:r>
      <w:r w:rsidRPr="00E97E0B">
        <w:rPr>
          <w:rFonts w:ascii="Book Antiqua" w:hAnsi="Book Antiqua"/>
          <w:sz w:val="24"/>
          <w:szCs w:val="24"/>
        </w:rPr>
        <w:t xml:space="preserve">” başlıklı bu doktora tezi Siyaset Bilimi ve Kamu Yönetimi Anabilim dalında hazırlanmış ve jürimiz tarafından kabul edilmiştir. </w:t>
      </w:r>
    </w:p>
    <w:p w14:paraId="45BB42CE" w14:textId="77777777" w:rsidR="004E3B55" w:rsidRPr="00E97E0B" w:rsidRDefault="004E3B55" w:rsidP="004E3B55">
      <w:pPr>
        <w:rPr>
          <w:rFonts w:ascii="Book Antiqua" w:hAnsi="Book Antiqua"/>
          <w:sz w:val="24"/>
          <w:szCs w:val="24"/>
        </w:rPr>
      </w:pPr>
    </w:p>
    <w:p w14:paraId="3BFEBA18" w14:textId="77777777" w:rsidR="004E3B55" w:rsidRPr="00E97E0B" w:rsidRDefault="004E3B55" w:rsidP="004E3B55">
      <w:pPr>
        <w:rPr>
          <w:rFonts w:ascii="Book Antiqua" w:hAnsi="Book Antiqua"/>
          <w:sz w:val="24"/>
          <w:szCs w:val="24"/>
        </w:rPr>
      </w:pPr>
      <w:r w:rsidRPr="00E97E0B">
        <w:rPr>
          <w:rFonts w:ascii="Book Antiqua" w:hAnsi="Book Antiqua"/>
          <w:b/>
          <w:bCs/>
          <w:sz w:val="24"/>
          <w:szCs w:val="24"/>
          <w:u w:val="single"/>
        </w:rPr>
        <w:t>JÜRİ ÜYELERİ</w:t>
      </w:r>
      <w:r w:rsidRPr="00E97E0B">
        <w:rPr>
          <w:rFonts w:ascii="Book Antiqua" w:hAnsi="Book Antiqua"/>
          <w:sz w:val="24"/>
          <w:szCs w:val="24"/>
        </w:rPr>
        <w:t xml:space="preserve"> </w:t>
      </w:r>
      <w:r w:rsidRPr="00E97E0B">
        <w:rPr>
          <w:rFonts w:ascii="Book Antiqua" w:hAnsi="Book Antiqua"/>
          <w:sz w:val="24"/>
          <w:szCs w:val="24"/>
        </w:rPr>
        <w:tab/>
      </w:r>
      <w:r w:rsidRPr="00E97E0B">
        <w:rPr>
          <w:rFonts w:ascii="Book Antiqua" w:hAnsi="Book Antiqua"/>
          <w:sz w:val="24"/>
          <w:szCs w:val="24"/>
        </w:rPr>
        <w:tab/>
      </w:r>
      <w:r w:rsidRPr="00E97E0B">
        <w:rPr>
          <w:rFonts w:ascii="Book Antiqua" w:hAnsi="Book Antiqua"/>
          <w:sz w:val="24"/>
          <w:szCs w:val="24"/>
        </w:rPr>
        <w:tab/>
      </w:r>
      <w:r w:rsidRPr="00E97E0B">
        <w:rPr>
          <w:rFonts w:ascii="Book Antiqua" w:hAnsi="Book Antiqua"/>
          <w:sz w:val="24"/>
          <w:szCs w:val="24"/>
        </w:rPr>
        <w:tab/>
      </w:r>
      <w:r w:rsidRPr="00E97E0B">
        <w:rPr>
          <w:rFonts w:ascii="Book Antiqua" w:hAnsi="Book Antiqua"/>
          <w:sz w:val="24"/>
          <w:szCs w:val="24"/>
        </w:rPr>
        <w:tab/>
      </w:r>
      <w:r w:rsidRPr="00E97E0B">
        <w:rPr>
          <w:rFonts w:ascii="Book Antiqua" w:hAnsi="Book Antiqua"/>
          <w:sz w:val="24"/>
          <w:szCs w:val="24"/>
        </w:rPr>
        <w:tab/>
      </w:r>
      <w:r w:rsidRPr="00E97E0B">
        <w:rPr>
          <w:rFonts w:ascii="Book Antiqua" w:hAnsi="Book Antiqua"/>
          <w:sz w:val="24"/>
          <w:szCs w:val="24"/>
        </w:rPr>
        <w:tab/>
      </w:r>
      <w:r w:rsidRPr="00E97E0B">
        <w:rPr>
          <w:rFonts w:ascii="Book Antiqua" w:hAnsi="Book Antiqua"/>
          <w:b/>
          <w:bCs/>
          <w:sz w:val="24"/>
          <w:szCs w:val="24"/>
          <w:u w:val="single"/>
        </w:rPr>
        <w:t xml:space="preserve">İMZA </w:t>
      </w:r>
    </w:p>
    <w:p w14:paraId="07A4984D" w14:textId="77777777" w:rsidR="00413445" w:rsidRPr="00E97E0B" w:rsidRDefault="00413445" w:rsidP="00413445">
      <w:pPr>
        <w:rPr>
          <w:rFonts w:ascii="Book Antiqua" w:hAnsi="Book Antiqua"/>
          <w:b/>
          <w:bCs/>
          <w:sz w:val="24"/>
          <w:szCs w:val="24"/>
        </w:rPr>
      </w:pPr>
      <w:r w:rsidRPr="00E97E0B">
        <w:rPr>
          <w:rFonts w:ascii="Book Antiqua" w:hAnsi="Book Antiqua"/>
          <w:b/>
          <w:bCs/>
          <w:sz w:val="24"/>
          <w:szCs w:val="24"/>
        </w:rPr>
        <w:t xml:space="preserve">Tez Danışmanı: </w:t>
      </w:r>
      <w:r w:rsidRPr="00E97E0B">
        <w:rPr>
          <w:rFonts w:ascii="Book Antiqua" w:hAnsi="Book Antiqua"/>
          <w:b/>
          <w:bCs/>
          <w:sz w:val="24"/>
          <w:szCs w:val="24"/>
        </w:rPr>
        <w:tab/>
      </w:r>
      <w:r w:rsidRPr="00E97E0B">
        <w:rPr>
          <w:rFonts w:ascii="Book Antiqua" w:hAnsi="Book Antiqua"/>
          <w:b/>
          <w:bCs/>
          <w:sz w:val="24"/>
          <w:szCs w:val="24"/>
        </w:rPr>
        <w:tab/>
      </w:r>
    </w:p>
    <w:p w14:paraId="50736E08" w14:textId="77777777" w:rsidR="00413445" w:rsidRPr="00E97E0B" w:rsidRDefault="00413445" w:rsidP="00413445">
      <w:pPr>
        <w:rPr>
          <w:rFonts w:ascii="Book Antiqua" w:hAnsi="Book Antiqua"/>
          <w:sz w:val="24"/>
          <w:szCs w:val="24"/>
        </w:rPr>
      </w:pPr>
      <w:r w:rsidRPr="00E97E0B">
        <w:rPr>
          <w:rFonts w:ascii="Book Antiqua" w:hAnsi="Book Antiqua"/>
          <w:sz w:val="24"/>
          <w:szCs w:val="24"/>
        </w:rPr>
        <w:t>Doç. Dr. İdil Tunçer Kılavuz</w:t>
      </w:r>
    </w:p>
    <w:p w14:paraId="7750FB40" w14:textId="77777777" w:rsidR="00413445" w:rsidRPr="00E97E0B" w:rsidRDefault="00413445" w:rsidP="00413445">
      <w:pPr>
        <w:rPr>
          <w:rFonts w:ascii="Book Antiqua" w:hAnsi="Book Antiqua"/>
          <w:sz w:val="24"/>
          <w:szCs w:val="24"/>
        </w:rPr>
      </w:pPr>
      <w:r w:rsidRPr="00E97E0B">
        <w:rPr>
          <w:rFonts w:ascii="Book Antiqua" w:hAnsi="Book Antiqua"/>
          <w:sz w:val="24"/>
          <w:szCs w:val="24"/>
        </w:rPr>
        <w:t xml:space="preserve">Kurumu: İstanbul Medeniyet Üniversitesi </w:t>
      </w:r>
    </w:p>
    <w:p w14:paraId="78C3B7FD" w14:textId="77777777" w:rsidR="00413445" w:rsidRPr="00E97E0B" w:rsidRDefault="00413445" w:rsidP="00413445">
      <w:pPr>
        <w:rPr>
          <w:rFonts w:ascii="Book Antiqua" w:hAnsi="Book Antiqua"/>
          <w:b/>
          <w:bCs/>
          <w:sz w:val="24"/>
          <w:szCs w:val="24"/>
        </w:rPr>
      </w:pPr>
      <w:r w:rsidRPr="00E97E0B">
        <w:rPr>
          <w:rFonts w:ascii="Book Antiqua" w:hAnsi="Book Antiqua"/>
          <w:b/>
          <w:bCs/>
          <w:sz w:val="24"/>
          <w:szCs w:val="24"/>
        </w:rPr>
        <w:t xml:space="preserve">Üyeler: </w:t>
      </w:r>
    </w:p>
    <w:p w14:paraId="07765AED" w14:textId="77777777" w:rsidR="00413445" w:rsidRPr="00E97E0B" w:rsidRDefault="00413445" w:rsidP="00413445">
      <w:pPr>
        <w:rPr>
          <w:rFonts w:ascii="Book Antiqua" w:hAnsi="Book Antiqua"/>
          <w:sz w:val="24"/>
          <w:szCs w:val="24"/>
        </w:rPr>
      </w:pPr>
      <w:r w:rsidRPr="00E97E0B">
        <w:rPr>
          <w:rFonts w:ascii="Book Antiqua" w:hAnsi="Book Antiqua"/>
          <w:sz w:val="24"/>
          <w:szCs w:val="24"/>
        </w:rPr>
        <w:t>Prof. Dr. Alim Yılmaz</w:t>
      </w:r>
    </w:p>
    <w:p w14:paraId="628AECDE" w14:textId="77777777" w:rsidR="00413445" w:rsidRPr="00E97E0B" w:rsidRDefault="00413445" w:rsidP="00413445">
      <w:pPr>
        <w:rPr>
          <w:rFonts w:ascii="Book Antiqua" w:hAnsi="Book Antiqua"/>
          <w:sz w:val="24"/>
          <w:szCs w:val="24"/>
        </w:rPr>
      </w:pPr>
      <w:r w:rsidRPr="00E97E0B">
        <w:rPr>
          <w:rFonts w:ascii="Book Antiqua" w:hAnsi="Book Antiqua"/>
          <w:sz w:val="24"/>
          <w:szCs w:val="24"/>
        </w:rPr>
        <w:t xml:space="preserve">Kurumu: İstanbul Medeniyet Üniversitesi </w:t>
      </w:r>
    </w:p>
    <w:p w14:paraId="06ADF863" w14:textId="77777777" w:rsidR="00413445" w:rsidRPr="00E97E0B" w:rsidRDefault="00413445" w:rsidP="00413445">
      <w:pPr>
        <w:rPr>
          <w:rFonts w:ascii="Book Antiqua" w:hAnsi="Book Antiqua"/>
          <w:sz w:val="24"/>
          <w:szCs w:val="24"/>
        </w:rPr>
      </w:pPr>
      <w:r w:rsidRPr="00E97E0B">
        <w:rPr>
          <w:rFonts w:ascii="Book Antiqua" w:hAnsi="Book Antiqua"/>
          <w:sz w:val="24"/>
          <w:szCs w:val="24"/>
        </w:rPr>
        <w:t>Prof. Dr. Erhan Doğan</w:t>
      </w:r>
    </w:p>
    <w:p w14:paraId="5B1EAB7B" w14:textId="77777777" w:rsidR="00413445" w:rsidRPr="00E97E0B" w:rsidRDefault="00413445" w:rsidP="00413445">
      <w:pPr>
        <w:rPr>
          <w:rFonts w:ascii="Book Antiqua" w:hAnsi="Book Antiqua"/>
          <w:sz w:val="24"/>
          <w:szCs w:val="24"/>
        </w:rPr>
      </w:pPr>
      <w:r w:rsidRPr="00E97E0B">
        <w:rPr>
          <w:rFonts w:ascii="Book Antiqua" w:hAnsi="Book Antiqua"/>
          <w:sz w:val="24"/>
          <w:szCs w:val="24"/>
        </w:rPr>
        <w:t xml:space="preserve">Kurumu: T.C. Marmara Üniversitesi </w:t>
      </w:r>
    </w:p>
    <w:p w14:paraId="42A56C65" w14:textId="77777777" w:rsidR="00413445" w:rsidRPr="00E97E0B" w:rsidRDefault="00413445" w:rsidP="00413445">
      <w:pPr>
        <w:rPr>
          <w:rFonts w:ascii="Book Antiqua" w:hAnsi="Book Antiqua"/>
          <w:sz w:val="24"/>
          <w:szCs w:val="24"/>
        </w:rPr>
      </w:pPr>
      <w:r w:rsidRPr="00E97E0B">
        <w:rPr>
          <w:rFonts w:ascii="Book Antiqua" w:hAnsi="Book Antiqua"/>
          <w:sz w:val="24"/>
          <w:szCs w:val="24"/>
        </w:rPr>
        <w:t>Doç. Dr. Helin Sarı Ertem</w:t>
      </w:r>
    </w:p>
    <w:p w14:paraId="5F3C28F2" w14:textId="77777777" w:rsidR="00413445" w:rsidRPr="00E97E0B" w:rsidRDefault="00413445" w:rsidP="00413445">
      <w:pPr>
        <w:rPr>
          <w:rFonts w:ascii="Book Antiqua" w:hAnsi="Book Antiqua"/>
          <w:sz w:val="24"/>
          <w:szCs w:val="24"/>
        </w:rPr>
      </w:pPr>
      <w:r w:rsidRPr="00E97E0B">
        <w:rPr>
          <w:rFonts w:ascii="Book Antiqua" w:hAnsi="Book Antiqua"/>
          <w:sz w:val="24"/>
          <w:szCs w:val="24"/>
        </w:rPr>
        <w:t>Kurumu: İstanbul Medeniyet Üniversitesi</w:t>
      </w:r>
    </w:p>
    <w:p w14:paraId="21FBA5FB" w14:textId="77777777" w:rsidR="00413445" w:rsidRPr="00E97E0B" w:rsidRDefault="00413445" w:rsidP="00413445">
      <w:pPr>
        <w:rPr>
          <w:rFonts w:ascii="Book Antiqua" w:hAnsi="Book Antiqua"/>
          <w:sz w:val="24"/>
          <w:szCs w:val="24"/>
        </w:rPr>
      </w:pPr>
      <w:r w:rsidRPr="00E97E0B">
        <w:rPr>
          <w:rFonts w:ascii="Book Antiqua" w:hAnsi="Book Antiqua"/>
          <w:sz w:val="24"/>
          <w:szCs w:val="24"/>
        </w:rPr>
        <w:t>Doç. Dr. Merve Özdemirkıran Embel</w:t>
      </w:r>
    </w:p>
    <w:p w14:paraId="4E1B4E66" w14:textId="77777777" w:rsidR="00413445" w:rsidRPr="00E97E0B" w:rsidRDefault="00413445" w:rsidP="00413445">
      <w:pPr>
        <w:rPr>
          <w:rFonts w:ascii="Book Antiqua" w:hAnsi="Book Antiqua"/>
          <w:sz w:val="24"/>
          <w:szCs w:val="24"/>
        </w:rPr>
      </w:pPr>
      <w:r w:rsidRPr="00E97E0B">
        <w:rPr>
          <w:rFonts w:ascii="Book Antiqua" w:hAnsi="Book Antiqua"/>
          <w:sz w:val="24"/>
          <w:szCs w:val="24"/>
        </w:rPr>
        <w:t xml:space="preserve">Kurumu: T.C. Marmara Üniversitesi </w:t>
      </w:r>
    </w:p>
    <w:p w14:paraId="089B6C16" w14:textId="77777777" w:rsidR="00413445" w:rsidRPr="00E97E0B" w:rsidRDefault="00413445" w:rsidP="00413445">
      <w:pPr>
        <w:rPr>
          <w:rFonts w:ascii="Book Antiqua" w:hAnsi="Book Antiqua"/>
          <w:sz w:val="24"/>
          <w:szCs w:val="24"/>
        </w:rPr>
      </w:pPr>
    </w:p>
    <w:p w14:paraId="62F9CE5F" w14:textId="77777777" w:rsidR="00413445" w:rsidRPr="00E97E0B" w:rsidRDefault="00413445" w:rsidP="00413445">
      <w:pPr>
        <w:rPr>
          <w:rFonts w:ascii="Book Antiqua" w:hAnsi="Book Antiqua"/>
          <w:sz w:val="24"/>
          <w:szCs w:val="24"/>
        </w:rPr>
      </w:pPr>
    </w:p>
    <w:p w14:paraId="246EED67" w14:textId="77777777" w:rsidR="00413445" w:rsidRPr="00E97E0B" w:rsidRDefault="00413445" w:rsidP="00413445">
      <w:pPr>
        <w:rPr>
          <w:rFonts w:ascii="Book Antiqua" w:hAnsi="Book Antiqua"/>
          <w:sz w:val="24"/>
          <w:szCs w:val="24"/>
        </w:rPr>
      </w:pPr>
    </w:p>
    <w:p w14:paraId="4E96488E" w14:textId="77777777" w:rsidR="00413445" w:rsidRPr="00E97E0B" w:rsidRDefault="00413445" w:rsidP="00413445">
      <w:pPr>
        <w:rPr>
          <w:rFonts w:ascii="Book Antiqua" w:hAnsi="Book Antiqua"/>
          <w:sz w:val="24"/>
          <w:szCs w:val="24"/>
        </w:rPr>
      </w:pPr>
    </w:p>
    <w:p w14:paraId="69588C32" w14:textId="77777777" w:rsidR="00413445" w:rsidRPr="00E97E0B" w:rsidRDefault="00413445" w:rsidP="00413445">
      <w:pPr>
        <w:rPr>
          <w:rFonts w:ascii="Book Antiqua" w:eastAsia="Times New Roman" w:hAnsi="Book Antiqua" w:cs="Arial"/>
          <w:sz w:val="24"/>
          <w:szCs w:val="24"/>
          <w:lang w:eastAsia="ko-KR"/>
        </w:rPr>
      </w:pPr>
    </w:p>
    <w:p w14:paraId="001C238C" w14:textId="0507417E" w:rsidR="00CA4613" w:rsidRPr="00E97E0B" w:rsidRDefault="00413445" w:rsidP="00413445">
      <w:pPr>
        <w:rPr>
          <w:rFonts w:ascii="Book Antiqua" w:hAnsi="Book Antiqua" w:cs="Arial"/>
          <w:b/>
          <w:bCs/>
          <w:sz w:val="24"/>
          <w:szCs w:val="24"/>
        </w:rPr>
      </w:pPr>
      <w:r w:rsidRPr="00E97E0B">
        <w:rPr>
          <w:rFonts w:ascii="Book Antiqua" w:eastAsia="Times New Roman" w:hAnsi="Book Antiqua" w:cs="Arial"/>
          <w:bCs/>
          <w:sz w:val="24"/>
          <w:szCs w:val="24"/>
        </w:rPr>
        <w:t>Tez Savunma Tarihi: 05 / 07 / 2023</w:t>
      </w:r>
      <w:r w:rsidR="00CA4613" w:rsidRPr="00E97E0B">
        <w:rPr>
          <w:rFonts w:ascii="Book Antiqua" w:hAnsi="Book Antiqua" w:cs="Arial"/>
          <w:b/>
          <w:bCs/>
          <w:sz w:val="24"/>
          <w:szCs w:val="24"/>
        </w:rPr>
        <w:br w:type="page"/>
      </w:r>
    </w:p>
    <w:p w14:paraId="528C584C" w14:textId="77777777" w:rsidR="00CA4613" w:rsidRPr="00E97E0B" w:rsidRDefault="00CA4613" w:rsidP="0045617F">
      <w:pPr>
        <w:spacing w:before="240" w:after="120"/>
        <w:jc w:val="center"/>
        <w:rPr>
          <w:rFonts w:ascii="Book Antiqua" w:eastAsia="Times New Roman" w:hAnsi="Book Antiqua" w:cs="Arial"/>
          <w:bCs/>
          <w:sz w:val="28"/>
          <w:szCs w:val="28"/>
        </w:rPr>
      </w:pPr>
      <w:r w:rsidRPr="00E97E0B">
        <w:rPr>
          <w:rFonts w:ascii="Book Antiqua" w:hAnsi="Book Antiqua" w:cs="Arial"/>
          <w:b/>
          <w:bCs/>
          <w:sz w:val="28"/>
          <w:szCs w:val="28"/>
        </w:rPr>
        <w:lastRenderedPageBreak/>
        <w:t>BEYANLAR</w:t>
      </w:r>
    </w:p>
    <w:p w14:paraId="6D243C6A" w14:textId="77777777" w:rsidR="00CA4613" w:rsidRPr="00E97E0B" w:rsidRDefault="00CA4613" w:rsidP="00CA4613">
      <w:pPr>
        <w:rPr>
          <w:rFonts w:ascii="Book Antiqua" w:hAnsi="Book Antiqua" w:cs="Arial"/>
          <w:bCs/>
          <w:sz w:val="24"/>
          <w:szCs w:val="24"/>
        </w:rPr>
      </w:pPr>
    </w:p>
    <w:p w14:paraId="222EB0CF" w14:textId="77777777" w:rsidR="00CA4613" w:rsidRPr="00E97E0B" w:rsidRDefault="00CA4613" w:rsidP="00CA4613">
      <w:pPr>
        <w:jc w:val="center"/>
        <w:rPr>
          <w:rFonts w:ascii="Book Antiqua" w:hAnsi="Book Antiqua" w:cs="Arial"/>
          <w:b/>
          <w:sz w:val="24"/>
          <w:szCs w:val="24"/>
        </w:rPr>
      </w:pPr>
      <w:r w:rsidRPr="00E97E0B">
        <w:rPr>
          <w:rFonts w:ascii="Book Antiqua" w:hAnsi="Book Antiqua" w:cs="Arial"/>
          <w:b/>
          <w:bCs/>
          <w:sz w:val="24"/>
          <w:szCs w:val="24"/>
        </w:rPr>
        <w:t>Yazım ve Kaynak Gösterme Kılavuzu Beyanı</w:t>
      </w:r>
    </w:p>
    <w:p w14:paraId="7441CA3D" w14:textId="77777777" w:rsidR="00CA4613" w:rsidRPr="00E97E0B" w:rsidRDefault="00CA4613" w:rsidP="00CA4613">
      <w:pPr>
        <w:jc w:val="center"/>
        <w:rPr>
          <w:rFonts w:ascii="Book Antiqua" w:hAnsi="Book Antiqua" w:cs="Arial"/>
          <w:sz w:val="24"/>
          <w:szCs w:val="24"/>
        </w:rPr>
      </w:pPr>
    </w:p>
    <w:p w14:paraId="1AF88C96" w14:textId="1F0B7C18" w:rsidR="00CA4613" w:rsidRPr="00E97E0B" w:rsidRDefault="00CA4613" w:rsidP="00CA4613">
      <w:pPr>
        <w:spacing w:line="360" w:lineRule="auto"/>
        <w:jc w:val="center"/>
        <w:rPr>
          <w:rFonts w:ascii="Book Antiqua" w:hAnsi="Book Antiqua" w:cs="Arial"/>
          <w:b/>
          <w:sz w:val="24"/>
          <w:szCs w:val="24"/>
        </w:rPr>
      </w:pPr>
      <w:r w:rsidRPr="00E97E0B">
        <w:rPr>
          <w:rFonts w:ascii="Book Antiqua" w:hAnsi="Book Antiqua" w:cs="Arial"/>
          <w:sz w:val="24"/>
          <w:szCs w:val="24"/>
        </w:rPr>
        <w:t xml:space="preserve">Danışmanlığımda yazılan bu tezin </w:t>
      </w:r>
      <w:r w:rsidR="007446BB" w:rsidRPr="00E97E0B">
        <w:rPr>
          <w:rFonts w:ascii="Book Antiqua" w:hAnsi="Book Antiqua" w:cs="Arial"/>
          <w:sz w:val="24"/>
          <w:szCs w:val="24"/>
        </w:rPr>
        <w:t>Chicago</w:t>
      </w:r>
      <w:r w:rsidRPr="00E97E0B">
        <w:rPr>
          <w:rFonts w:ascii="Book Antiqua" w:hAnsi="Book Antiqua" w:cs="Arial"/>
          <w:bCs/>
          <w:sz w:val="24"/>
          <w:szCs w:val="24"/>
        </w:rPr>
        <w:t xml:space="preserve"> yazım ve kaynak gösterme kılavuzunda</w:t>
      </w:r>
      <w:r w:rsidRPr="00E97E0B">
        <w:rPr>
          <w:rFonts w:ascii="Book Antiqua" w:hAnsi="Book Antiqua" w:cs="Arial"/>
          <w:sz w:val="24"/>
          <w:szCs w:val="24"/>
        </w:rPr>
        <w:t xml:space="preserve"> belirtilen kurallara uygun olarak yapılandırıldığı ve bu kılavuzun</w:t>
      </w:r>
      <w:r w:rsidR="007446BB" w:rsidRPr="00E97E0B">
        <w:rPr>
          <w:rFonts w:ascii="Book Antiqua" w:hAnsi="Book Antiqua" w:cs="Arial"/>
          <w:sz w:val="24"/>
          <w:szCs w:val="24"/>
        </w:rPr>
        <w:t xml:space="preserve"> Chicago</w:t>
      </w:r>
      <w:r w:rsidRPr="00E97E0B">
        <w:rPr>
          <w:rFonts w:ascii="Book Antiqua" w:hAnsi="Book Antiqua" w:cs="Arial"/>
          <w:sz w:val="24"/>
          <w:szCs w:val="24"/>
        </w:rPr>
        <w:t xml:space="preserve"> kaynak gösterme standartlarının bu tezde tutarlı olarak uygulandığı tarafımdan incelenerek teyit edilmiştir.</w:t>
      </w:r>
    </w:p>
    <w:p w14:paraId="4C3604DF" w14:textId="77777777" w:rsidR="00CA4613" w:rsidRPr="00E97E0B" w:rsidRDefault="00CA4613" w:rsidP="00CA4613">
      <w:pPr>
        <w:jc w:val="center"/>
        <w:rPr>
          <w:rFonts w:ascii="Book Antiqua" w:hAnsi="Book Antiqua" w:cs="Arial"/>
          <w:sz w:val="24"/>
          <w:szCs w:val="24"/>
        </w:rPr>
      </w:pPr>
    </w:p>
    <w:p w14:paraId="4F65C98F" w14:textId="77777777" w:rsidR="00CA4613" w:rsidRPr="00E97E0B" w:rsidRDefault="00CA4613" w:rsidP="00CA4613">
      <w:pPr>
        <w:jc w:val="center"/>
        <w:rPr>
          <w:rFonts w:ascii="Book Antiqua" w:hAnsi="Book Antiqua" w:cs="Arial"/>
          <w:sz w:val="24"/>
          <w:szCs w:val="24"/>
        </w:rPr>
      </w:pPr>
    </w:p>
    <w:p w14:paraId="0EF25808" w14:textId="77777777" w:rsidR="00CA4613" w:rsidRPr="00E97E0B" w:rsidRDefault="00CA4613" w:rsidP="00CA4613">
      <w:pPr>
        <w:jc w:val="center"/>
        <w:rPr>
          <w:rFonts w:ascii="Book Antiqua" w:hAnsi="Book Antiqua" w:cs="Arial"/>
          <w:sz w:val="24"/>
          <w:szCs w:val="24"/>
        </w:rPr>
      </w:pPr>
      <w:r w:rsidRPr="00E97E0B">
        <w:rPr>
          <w:rFonts w:ascii="Book Antiqua" w:hAnsi="Book Antiqua" w:cs="Arial"/>
          <w:sz w:val="24"/>
          <w:szCs w:val="24"/>
        </w:rPr>
        <w:t xml:space="preserve"> </w:t>
      </w:r>
    </w:p>
    <w:p w14:paraId="0227DFA9" w14:textId="77777777" w:rsidR="00CA4613" w:rsidRPr="00E97E0B" w:rsidRDefault="00CA4613" w:rsidP="00CA4613">
      <w:pPr>
        <w:tabs>
          <w:tab w:val="left" w:pos="6379"/>
        </w:tabs>
        <w:ind w:left="6379" w:right="281"/>
        <w:jc w:val="center"/>
        <w:rPr>
          <w:rFonts w:ascii="Book Antiqua" w:hAnsi="Book Antiqua" w:cs="Arial"/>
          <w:sz w:val="24"/>
          <w:szCs w:val="24"/>
        </w:rPr>
      </w:pPr>
      <w:r w:rsidRPr="00E97E0B">
        <w:rPr>
          <w:rFonts w:ascii="Book Antiqua" w:hAnsi="Book Antiqua" w:cs="Arial"/>
          <w:sz w:val="24"/>
          <w:szCs w:val="24"/>
        </w:rPr>
        <w:t>İmza</w:t>
      </w:r>
    </w:p>
    <w:p w14:paraId="4EBC0513" w14:textId="3590DC77" w:rsidR="00CA4613" w:rsidRPr="00E97E0B" w:rsidRDefault="007446BB" w:rsidP="00CA4613">
      <w:pPr>
        <w:jc w:val="right"/>
        <w:rPr>
          <w:rFonts w:ascii="Book Antiqua" w:hAnsi="Book Antiqua" w:cs="Arial"/>
          <w:sz w:val="24"/>
          <w:szCs w:val="24"/>
        </w:rPr>
      </w:pPr>
      <w:r w:rsidRPr="00E97E0B">
        <w:rPr>
          <w:rFonts w:ascii="Book Antiqua" w:hAnsi="Book Antiqua"/>
          <w:sz w:val="24"/>
          <w:szCs w:val="24"/>
        </w:rPr>
        <w:t>Doç. Dr. İdil Tunçer Kılavuz</w:t>
      </w:r>
    </w:p>
    <w:p w14:paraId="1E1B89F7" w14:textId="77777777" w:rsidR="00CA4613" w:rsidRPr="00E97E0B" w:rsidRDefault="00CA4613" w:rsidP="00CA4613">
      <w:pPr>
        <w:rPr>
          <w:rFonts w:ascii="Book Antiqua" w:hAnsi="Book Antiqua" w:cs="Arial"/>
          <w:sz w:val="24"/>
          <w:szCs w:val="24"/>
        </w:rPr>
      </w:pPr>
    </w:p>
    <w:p w14:paraId="21888DF7" w14:textId="77777777" w:rsidR="00CA4613" w:rsidRPr="00E97E0B" w:rsidRDefault="00CA4613" w:rsidP="00CA4613">
      <w:pPr>
        <w:rPr>
          <w:rFonts w:ascii="Book Antiqua" w:hAnsi="Book Antiqua" w:cs="Arial"/>
          <w:bCs/>
          <w:sz w:val="24"/>
          <w:szCs w:val="24"/>
        </w:rPr>
      </w:pPr>
    </w:p>
    <w:p w14:paraId="0EBB1047" w14:textId="77777777" w:rsidR="003D6AD2" w:rsidRPr="00E97E0B" w:rsidRDefault="003D6AD2" w:rsidP="00CA4613">
      <w:pPr>
        <w:rPr>
          <w:rFonts w:ascii="Book Antiqua" w:hAnsi="Book Antiqua" w:cs="Arial"/>
          <w:bCs/>
          <w:sz w:val="24"/>
          <w:szCs w:val="24"/>
        </w:rPr>
      </w:pPr>
    </w:p>
    <w:p w14:paraId="396C3B93" w14:textId="77777777" w:rsidR="00CA4613" w:rsidRPr="00E97E0B" w:rsidRDefault="00CA4613" w:rsidP="00CA4613">
      <w:pPr>
        <w:rPr>
          <w:rFonts w:ascii="Book Antiqua" w:hAnsi="Book Antiqua" w:cs="Arial"/>
          <w:bCs/>
          <w:sz w:val="24"/>
          <w:szCs w:val="24"/>
        </w:rPr>
      </w:pPr>
    </w:p>
    <w:p w14:paraId="083650B2" w14:textId="77777777" w:rsidR="00CA4613" w:rsidRPr="00E97E0B" w:rsidRDefault="00CA4613" w:rsidP="00CA4613">
      <w:pPr>
        <w:jc w:val="center"/>
        <w:rPr>
          <w:rFonts w:ascii="Book Antiqua" w:hAnsi="Book Antiqua" w:cs="Arial"/>
          <w:b/>
          <w:bCs/>
          <w:sz w:val="24"/>
          <w:szCs w:val="24"/>
        </w:rPr>
      </w:pPr>
      <w:r w:rsidRPr="00E97E0B">
        <w:rPr>
          <w:rFonts w:ascii="Book Antiqua" w:hAnsi="Book Antiqua" w:cs="Arial"/>
          <w:b/>
          <w:sz w:val="24"/>
          <w:szCs w:val="24"/>
        </w:rPr>
        <w:t>Etik İlkelere Sadakat Beyanı</w:t>
      </w:r>
    </w:p>
    <w:p w14:paraId="26C26B6C" w14:textId="77777777" w:rsidR="00CA4613" w:rsidRPr="00E97E0B" w:rsidRDefault="00CA4613" w:rsidP="00CA4613">
      <w:pPr>
        <w:jc w:val="center"/>
        <w:rPr>
          <w:rFonts w:ascii="Book Antiqua" w:hAnsi="Book Antiqua" w:cs="Arial"/>
          <w:sz w:val="24"/>
          <w:szCs w:val="24"/>
        </w:rPr>
      </w:pPr>
    </w:p>
    <w:p w14:paraId="0B9FCEE7" w14:textId="77777777" w:rsidR="00CA4613" w:rsidRPr="00E97E0B" w:rsidRDefault="00CA4613" w:rsidP="00CA4613">
      <w:pPr>
        <w:spacing w:line="360" w:lineRule="auto"/>
        <w:jc w:val="center"/>
        <w:rPr>
          <w:rFonts w:ascii="Book Antiqua" w:hAnsi="Book Antiqua" w:cs="Arial"/>
          <w:b/>
          <w:bCs/>
          <w:sz w:val="24"/>
          <w:szCs w:val="24"/>
        </w:rPr>
      </w:pPr>
      <w:r w:rsidRPr="00E97E0B">
        <w:rPr>
          <w:rFonts w:ascii="Book Antiqua" w:hAnsi="Book Antiqua" w:cs="Arial"/>
          <w:sz w:val="24"/>
          <w:szCs w:val="24"/>
        </w:rPr>
        <w:t>Hazırladığım bu tezin tamamen kendi çalışmam olduğunu, akademik ve etik kuralları gözeterek çalıştığımı ve her alıntıya kaynak gösterdiğimi beyan ederim.</w:t>
      </w:r>
    </w:p>
    <w:p w14:paraId="4D79CF87" w14:textId="77777777" w:rsidR="00CA4613" w:rsidRPr="00E97E0B" w:rsidRDefault="00CA4613" w:rsidP="007446BB">
      <w:pPr>
        <w:rPr>
          <w:rFonts w:ascii="Book Antiqua" w:hAnsi="Book Antiqua" w:cs="Arial"/>
          <w:b/>
          <w:bCs/>
          <w:sz w:val="24"/>
          <w:szCs w:val="24"/>
        </w:rPr>
      </w:pPr>
    </w:p>
    <w:p w14:paraId="551B57D7" w14:textId="77777777" w:rsidR="00CA4613" w:rsidRPr="00E97E0B" w:rsidRDefault="00CA4613" w:rsidP="00CA4613">
      <w:pPr>
        <w:jc w:val="center"/>
        <w:rPr>
          <w:rFonts w:ascii="Book Antiqua" w:hAnsi="Book Antiqua" w:cs="Arial"/>
          <w:b/>
          <w:bCs/>
          <w:sz w:val="24"/>
          <w:szCs w:val="24"/>
        </w:rPr>
      </w:pPr>
    </w:p>
    <w:p w14:paraId="1505BF3B" w14:textId="77777777" w:rsidR="00CA4613" w:rsidRPr="00E97E0B" w:rsidRDefault="00CA4613" w:rsidP="00CA4613">
      <w:pPr>
        <w:ind w:left="5664" w:right="-144" w:firstLine="708"/>
        <w:jc w:val="center"/>
        <w:rPr>
          <w:rFonts w:ascii="Book Antiqua" w:hAnsi="Book Antiqua" w:cs="Arial"/>
          <w:sz w:val="24"/>
          <w:szCs w:val="24"/>
        </w:rPr>
      </w:pPr>
      <w:r w:rsidRPr="00E97E0B">
        <w:rPr>
          <w:rFonts w:ascii="Book Antiqua" w:hAnsi="Book Antiqua" w:cs="Arial"/>
          <w:sz w:val="24"/>
          <w:szCs w:val="24"/>
        </w:rPr>
        <w:t xml:space="preserve"> İmza</w:t>
      </w:r>
    </w:p>
    <w:p w14:paraId="1885F208" w14:textId="3CB0CBA5" w:rsidR="00CA4613" w:rsidRPr="00E97E0B" w:rsidRDefault="004E3B55" w:rsidP="00CA4613">
      <w:pPr>
        <w:ind w:right="-2" w:firstLine="708"/>
        <w:jc w:val="right"/>
        <w:rPr>
          <w:rFonts w:ascii="Book Antiqua" w:hAnsi="Book Antiqua"/>
          <w:sz w:val="24"/>
          <w:szCs w:val="24"/>
        </w:rPr>
      </w:pPr>
      <w:r w:rsidRPr="00E97E0B">
        <w:rPr>
          <w:rFonts w:ascii="Book Antiqua" w:hAnsi="Book Antiqua"/>
          <w:sz w:val="24"/>
          <w:szCs w:val="24"/>
        </w:rPr>
        <w:t>Cemal Cem Anarat</w:t>
      </w:r>
    </w:p>
    <w:p w14:paraId="2998723C" w14:textId="77777777" w:rsidR="002858AE" w:rsidRPr="00E97E0B" w:rsidRDefault="002858AE" w:rsidP="002858AE">
      <w:pPr>
        <w:spacing w:before="120" w:after="120" w:line="360" w:lineRule="auto"/>
        <w:jc w:val="both"/>
        <w:rPr>
          <w:rFonts w:ascii="Times" w:eastAsia="Calibri" w:hAnsi="Times" w:cs="Times New Roman"/>
          <w:sz w:val="24"/>
          <w:szCs w:val="24"/>
        </w:rPr>
        <w:sectPr w:rsidR="002858AE" w:rsidRPr="00E97E0B" w:rsidSect="0045617F">
          <w:footerReference w:type="default" r:id="rId10"/>
          <w:type w:val="continuous"/>
          <w:pgSz w:w="11906" w:h="16838"/>
          <w:pgMar w:top="1418" w:right="1701" w:bottom="1418" w:left="2268" w:header="720" w:footer="720" w:gutter="0"/>
          <w:pgNumType w:fmt="lowerRoman" w:start="1"/>
          <w:cols w:space="720"/>
          <w:docGrid w:linePitch="360"/>
        </w:sectPr>
      </w:pPr>
    </w:p>
    <w:p w14:paraId="58631DF8" w14:textId="77777777" w:rsidR="002858AE" w:rsidRPr="00E97E0B" w:rsidRDefault="002858AE" w:rsidP="005752BA">
      <w:pPr>
        <w:keepNext/>
        <w:keepLines/>
        <w:spacing w:before="480" w:after="240" w:line="360" w:lineRule="auto"/>
        <w:jc w:val="center"/>
        <w:outlineLvl w:val="0"/>
        <w:rPr>
          <w:rFonts w:ascii="Times New Roman" w:eastAsia="Times New Roman" w:hAnsi="Times New Roman" w:cs="Times New Roman"/>
          <w:b/>
          <w:color w:val="000000"/>
          <w:sz w:val="24"/>
          <w:szCs w:val="28"/>
        </w:rPr>
      </w:pPr>
      <w:bookmarkStart w:id="0" w:name="_Toc141133045"/>
      <w:r w:rsidRPr="00E97E0B">
        <w:rPr>
          <w:rFonts w:ascii="Times New Roman" w:eastAsia="Times New Roman" w:hAnsi="Times New Roman" w:cs="Times New Roman"/>
          <w:b/>
          <w:color w:val="000000"/>
          <w:sz w:val="24"/>
          <w:szCs w:val="28"/>
        </w:rPr>
        <w:lastRenderedPageBreak/>
        <w:t>TEŞEKKÜR</w:t>
      </w:r>
      <w:bookmarkEnd w:id="0"/>
    </w:p>
    <w:p w14:paraId="6D819971" w14:textId="069F7C6A" w:rsidR="002858AE" w:rsidRPr="00E97E0B" w:rsidRDefault="003D7AFF"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Bu çalışmanın yürütülmesi sırasında desteğini, tavsiyelerini ve sabrını esirgemeyen danışmanım ve değerli hocam Doç. Dr. İdil Tunçer Kılavuz’a, tavsiye ve desteklerini esirgemeyen jüri üyeleri değerli hocalarım Prof. Dr. Alim Yılmaz ve Prof. Dr. Erhan Doğan’a ve</w:t>
      </w:r>
      <w:r w:rsidR="00D61AA7" w:rsidRPr="00E97E0B">
        <w:rPr>
          <w:rFonts w:ascii="Times" w:eastAsia="Calibri" w:hAnsi="Times" w:cs="Times New Roman"/>
          <w:sz w:val="24"/>
          <w:szCs w:val="24"/>
        </w:rPr>
        <w:t xml:space="preserve"> diğer jüri üyesi hocalarıma,</w:t>
      </w:r>
      <w:r w:rsidRPr="00E97E0B">
        <w:rPr>
          <w:rFonts w:ascii="Times" w:eastAsia="Calibri" w:hAnsi="Times" w:cs="Times New Roman"/>
          <w:sz w:val="24"/>
          <w:szCs w:val="24"/>
        </w:rPr>
        <w:t xml:space="preserve"> manevi desteklerini her zaman arkamda hissettiğim aileme; </w:t>
      </w:r>
      <w:r w:rsidR="002C08F9" w:rsidRPr="00E97E0B">
        <w:rPr>
          <w:rFonts w:ascii="Times" w:eastAsia="Calibri" w:hAnsi="Times" w:cs="Times New Roman"/>
          <w:sz w:val="24"/>
          <w:szCs w:val="24"/>
        </w:rPr>
        <w:t xml:space="preserve">nişanlım Elif Kurtuluş’a, </w:t>
      </w:r>
      <w:r w:rsidRPr="00E97E0B">
        <w:rPr>
          <w:rFonts w:ascii="Times" w:eastAsia="Calibri" w:hAnsi="Times" w:cs="Times New Roman"/>
          <w:sz w:val="24"/>
          <w:szCs w:val="24"/>
        </w:rPr>
        <w:t>annem, babam, kardeşim, anneannem, dedem, rahmetli babaannem, rahmetli büyükbabam</w:t>
      </w:r>
      <w:r w:rsidR="002C08F9" w:rsidRPr="00E97E0B">
        <w:rPr>
          <w:rFonts w:ascii="Times" w:eastAsia="Calibri" w:hAnsi="Times" w:cs="Times New Roman"/>
          <w:sz w:val="24"/>
          <w:szCs w:val="24"/>
        </w:rPr>
        <w:t xml:space="preserve">a </w:t>
      </w:r>
      <w:r w:rsidRPr="00E97E0B">
        <w:rPr>
          <w:rFonts w:ascii="Times" w:eastAsia="Calibri" w:hAnsi="Times" w:cs="Times New Roman"/>
          <w:sz w:val="24"/>
          <w:szCs w:val="24"/>
        </w:rPr>
        <w:t>en derin şükran, saygı ve sevgilerimi sunarım.</w:t>
      </w:r>
    </w:p>
    <w:p w14:paraId="1FE888E7"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p>
    <w:p w14:paraId="36D8BB58"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3397E600"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655F6F54"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193EE7D9"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1D512CC0"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4E2E8F13"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6B33B71F"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3A051DB1"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7150EBD6"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48745718"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323E125B"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1252F059"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12DB3E28"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7FEC445E"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2607C110" w14:textId="77777777" w:rsidR="002858AE" w:rsidRPr="00E97E0B" w:rsidRDefault="002858AE" w:rsidP="002858AE">
      <w:pPr>
        <w:spacing w:before="120" w:after="120" w:line="360" w:lineRule="auto"/>
        <w:jc w:val="both"/>
        <w:rPr>
          <w:rFonts w:ascii="Times" w:eastAsia="Calibri" w:hAnsi="Times" w:cs="Times New Roman"/>
          <w:sz w:val="24"/>
          <w:szCs w:val="24"/>
        </w:rPr>
      </w:pPr>
    </w:p>
    <w:p w14:paraId="04BEB6A0" w14:textId="77777777" w:rsidR="002858AE" w:rsidRPr="00E97E0B" w:rsidRDefault="002858AE" w:rsidP="00342A1A">
      <w:pPr>
        <w:keepNext/>
        <w:keepLines/>
        <w:spacing w:before="480" w:after="360" w:line="360" w:lineRule="auto"/>
        <w:jc w:val="center"/>
        <w:outlineLvl w:val="0"/>
        <w:rPr>
          <w:rFonts w:ascii="Times New Roman" w:eastAsia="Times New Roman" w:hAnsi="Times New Roman" w:cs="Times New Roman"/>
          <w:b/>
          <w:color w:val="000000"/>
          <w:sz w:val="28"/>
          <w:szCs w:val="32"/>
        </w:rPr>
      </w:pPr>
      <w:bookmarkStart w:id="1" w:name="_Toc141133046"/>
      <w:r w:rsidRPr="00E97E0B">
        <w:rPr>
          <w:rFonts w:ascii="Times New Roman" w:eastAsia="Times New Roman" w:hAnsi="Times New Roman" w:cs="Times New Roman"/>
          <w:b/>
          <w:color w:val="000000"/>
          <w:sz w:val="28"/>
          <w:szCs w:val="32"/>
        </w:rPr>
        <w:lastRenderedPageBreak/>
        <w:t>ÖZET</w:t>
      </w:r>
      <w:bookmarkEnd w:id="1"/>
    </w:p>
    <w:p w14:paraId="16828A7B" w14:textId="505ECE43" w:rsidR="002858AE" w:rsidRPr="00E97E0B" w:rsidRDefault="002858AE" w:rsidP="00342A1A">
      <w:pPr>
        <w:spacing w:after="0" w:line="360" w:lineRule="auto"/>
        <w:jc w:val="center"/>
        <w:rPr>
          <w:rFonts w:ascii="Times" w:eastAsia="Calibri" w:hAnsi="Times" w:cs="Times New Roman"/>
          <w:b/>
          <w:sz w:val="24"/>
          <w:szCs w:val="24"/>
        </w:rPr>
      </w:pPr>
      <w:r w:rsidRPr="00E97E0B">
        <w:rPr>
          <w:rFonts w:ascii="Times" w:eastAsia="Calibri" w:hAnsi="Times" w:cs="Times New Roman"/>
          <w:b/>
          <w:sz w:val="24"/>
          <w:szCs w:val="24"/>
        </w:rPr>
        <w:t xml:space="preserve">TÜRKİYE VE FRANSA’DA SİYASAL SÖYLEM: </w:t>
      </w:r>
      <w:r w:rsidR="00342A1A" w:rsidRPr="00E97E0B">
        <w:rPr>
          <w:rFonts w:ascii="Times" w:eastAsia="Calibri" w:hAnsi="Times" w:cs="Times New Roman"/>
          <w:b/>
          <w:sz w:val="24"/>
          <w:szCs w:val="24"/>
        </w:rPr>
        <w:t xml:space="preserve"> </w:t>
      </w:r>
      <w:r w:rsidRPr="00E97E0B">
        <w:rPr>
          <w:rFonts w:ascii="Times" w:eastAsia="Calibri" w:hAnsi="Times" w:cs="Times New Roman"/>
          <w:b/>
          <w:sz w:val="24"/>
          <w:szCs w:val="24"/>
        </w:rPr>
        <w:t>“ÖTEKİ”NİN İNŞASI (2007-2012)</w:t>
      </w:r>
    </w:p>
    <w:p w14:paraId="29075505" w14:textId="77777777" w:rsidR="002858AE" w:rsidRPr="00E97E0B" w:rsidRDefault="002858AE" w:rsidP="00342A1A">
      <w:pPr>
        <w:autoSpaceDE w:val="0"/>
        <w:autoSpaceDN w:val="0"/>
        <w:adjustRightInd w:val="0"/>
        <w:spacing w:before="120" w:after="0" w:line="240" w:lineRule="auto"/>
        <w:jc w:val="center"/>
        <w:rPr>
          <w:rFonts w:ascii="Times New Roman" w:eastAsia="Calibri" w:hAnsi="Times New Roman" w:cs="Times New Roman"/>
          <w:color w:val="000000"/>
          <w:sz w:val="24"/>
          <w:szCs w:val="24"/>
        </w:rPr>
      </w:pPr>
      <w:r w:rsidRPr="00E97E0B">
        <w:rPr>
          <w:rFonts w:ascii="Times New Roman" w:eastAsia="Calibri" w:hAnsi="Times New Roman" w:cs="Times New Roman"/>
          <w:color w:val="000000"/>
          <w:sz w:val="24"/>
          <w:szCs w:val="24"/>
        </w:rPr>
        <w:t>ANARAT, Cemal Cem</w:t>
      </w:r>
    </w:p>
    <w:p w14:paraId="19556D79" w14:textId="77777777" w:rsidR="002858AE" w:rsidRPr="00E97E0B" w:rsidRDefault="002858AE" w:rsidP="002858A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97E0B">
        <w:rPr>
          <w:rFonts w:ascii="Times New Roman" w:eastAsia="Calibri" w:hAnsi="Times New Roman" w:cs="Times New Roman"/>
          <w:color w:val="000000"/>
          <w:sz w:val="24"/>
          <w:szCs w:val="24"/>
        </w:rPr>
        <w:t>Doktora Tezi, Siyaset Bilimi ve Kamu Yönetimi ABD, Siyaset Bilimi ve Kamu Yönetimi Programı</w:t>
      </w:r>
    </w:p>
    <w:p w14:paraId="7D556776" w14:textId="77777777" w:rsidR="002858AE" w:rsidRPr="00E97E0B" w:rsidRDefault="002858AE" w:rsidP="002858A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97E0B">
        <w:rPr>
          <w:rFonts w:ascii="Times New Roman" w:eastAsia="Calibri" w:hAnsi="Times New Roman" w:cs="Times New Roman"/>
          <w:color w:val="000000"/>
          <w:sz w:val="24"/>
          <w:szCs w:val="24"/>
        </w:rPr>
        <w:t>Danışman: Doç. Dr. İdil Tunçer Kılavuz</w:t>
      </w:r>
    </w:p>
    <w:p w14:paraId="50ACBD45" w14:textId="7F1996A4" w:rsidR="002858AE" w:rsidRPr="00E97E0B" w:rsidRDefault="00342A1A" w:rsidP="00342A1A">
      <w:pPr>
        <w:spacing w:before="120" w:after="120" w:line="360" w:lineRule="auto"/>
        <w:jc w:val="center"/>
        <w:rPr>
          <w:rFonts w:ascii="Times New Roman" w:eastAsia="Calibri" w:hAnsi="Times New Roman" w:cs="Times New Roman"/>
          <w:sz w:val="24"/>
          <w:szCs w:val="24"/>
        </w:rPr>
      </w:pPr>
      <w:r w:rsidRPr="00E97E0B">
        <w:rPr>
          <w:rFonts w:ascii="Times New Roman" w:eastAsia="Calibri" w:hAnsi="Times New Roman" w:cs="Times New Roman"/>
          <w:sz w:val="24"/>
          <w:szCs w:val="24"/>
        </w:rPr>
        <w:t>Temmuz</w:t>
      </w:r>
      <w:r w:rsidR="002858AE" w:rsidRPr="00E97E0B">
        <w:rPr>
          <w:rFonts w:ascii="Times New Roman" w:eastAsia="Calibri" w:hAnsi="Times New Roman" w:cs="Times New Roman"/>
          <w:sz w:val="24"/>
          <w:szCs w:val="24"/>
        </w:rPr>
        <w:t>, 2023,</w:t>
      </w:r>
      <w:r w:rsidRPr="00E97E0B">
        <w:rPr>
          <w:rFonts w:ascii="Times New Roman" w:eastAsia="Calibri" w:hAnsi="Times New Roman" w:cs="Times New Roman"/>
          <w:sz w:val="24"/>
          <w:szCs w:val="24"/>
        </w:rPr>
        <w:t xml:space="preserve"> 3</w:t>
      </w:r>
      <w:r w:rsidR="009A656B">
        <w:rPr>
          <w:rFonts w:ascii="Times New Roman" w:eastAsia="Calibri" w:hAnsi="Times New Roman" w:cs="Times New Roman"/>
          <w:sz w:val="24"/>
          <w:szCs w:val="24"/>
        </w:rPr>
        <w:t>2</w:t>
      </w:r>
      <w:r w:rsidR="00575F63">
        <w:rPr>
          <w:rFonts w:ascii="Times New Roman" w:eastAsia="Calibri" w:hAnsi="Times New Roman" w:cs="Times New Roman"/>
          <w:sz w:val="24"/>
          <w:szCs w:val="24"/>
        </w:rPr>
        <w:t>7</w:t>
      </w:r>
      <w:r w:rsidR="002858AE" w:rsidRPr="00E97E0B">
        <w:rPr>
          <w:rFonts w:ascii="Times New Roman" w:eastAsia="Calibri" w:hAnsi="Times New Roman" w:cs="Times New Roman"/>
          <w:sz w:val="24"/>
          <w:szCs w:val="24"/>
        </w:rPr>
        <w:t xml:space="preserve"> sayfa</w:t>
      </w:r>
    </w:p>
    <w:p w14:paraId="0DE5D8C9" w14:textId="499B4E74" w:rsidR="002858AE" w:rsidRPr="00E97E0B" w:rsidRDefault="002858AE" w:rsidP="00C51C5C">
      <w:pPr>
        <w:spacing w:before="120" w:after="120" w:line="240" w:lineRule="auto"/>
        <w:ind w:left="426"/>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 araştırma, 2007-2012 yılları arasında Türkiye ve Fransa’da Siyasal Söylemde “Öteki”nin nasıl inşa edildiğini incelemeyi amaçlamaktadır. “Öteki” inşa etmek aynı zamanda kendi konumunu inşa etmek anlamında geldiğinden her iki ülkede en üst düzey lider konumunda bulunmuş olan Fransa eski Cumhurbaşkanı Nicolas Sarkozy ve Türkiye Cumhuriyeti Devleti eski Başbakanı Recep Tayyip Erdoğan’ın bulundukları konumdan ‘etnik, dinî ve siyasal ‘öteki’lerinin kimler olduğu, onları hangi bağlamlarda  ve nasıl tanımladıkları her iki siyasetçi ve devlet başkanının da görev sürelerinin kesiştiği 2007-2012 yıllarında yaptıkları çeşitli konuşma ve açıklamalar esas alınarak irdelenmiştir. Söylemlerindeki stratejiler, anlamlar, cümle yapıları, biçem, bağlam, ideolojik eğilimler ve eylemler çerçevesinde oluşturdukları kategori ve tanımlar değerlendirilerek anlaşılmaya ve karşılaştırılmaya çalışılmıştır. Bu doğrultuda iki liderin konuşmaları devletlerin resmi siteleri başta olmak üzere haber siteleri ve canlı konuşma videoları geniş bir yelpazede incelenerek konuşmalarında sık tekrar edilen veya sık tekrar edilmese bile dikkat çeken kesitler seçilerek irdelenmiştir. Çalışmanın amacı Türkiye ve Fransa gibi, bölgelerinde model olma iddiasındaki ve tarihsel etkileşimi güçlü, fakat biri Batı Avrupa diğeri Akdeniz coğrafyasında olan, dinleri, dilleri ve toplumsal yapıları farklı olan iki ülkede 21. yüzyılın başlarında kendi iç ötekilerinin devlet liderleri düzeyinde neler olduğu ve onları nasıl konumlandırdıklarını tasvir etmek ve kavramaktır. Seçilen iki liderin karizmatik liderlik özelliklerinin ve siyasi duruşlarının benziyor olmasının ülkelerdeki farklılıkları görmek bakımından uygun olduğu bulunmuştur. Çalışmada incelenen dönemde her iki ülkedeki iktidarın öteki kategorilerini ele alma yaklaşımlarının benzer olduğu ortaya koyulmuştur.</w:t>
      </w:r>
    </w:p>
    <w:p w14:paraId="45BA4CE5" w14:textId="77777777" w:rsidR="002858AE" w:rsidRPr="00E97E0B" w:rsidRDefault="002858AE" w:rsidP="002858AE">
      <w:pPr>
        <w:spacing w:before="120" w:after="120" w:line="360" w:lineRule="auto"/>
        <w:ind w:left="426"/>
        <w:jc w:val="both"/>
        <w:rPr>
          <w:rFonts w:ascii="Times New Roman" w:eastAsia="Calibri" w:hAnsi="Times New Roman" w:cs="Times New Roman"/>
          <w:sz w:val="24"/>
          <w:szCs w:val="24"/>
        </w:rPr>
      </w:pPr>
    </w:p>
    <w:p w14:paraId="5C24367C" w14:textId="77777777" w:rsidR="006A073C" w:rsidRDefault="002858AE" w:rsidP="002858AE">
      <w:pPr>
        <w:spacing w:before="120" w:after="120" w:line="360" w:lineRule="auto"/>
        <w:ind w:left="426"/>
        <w:jc w:val="both"/>
        <w:rPr>
          <w:rFonts w:ascii="Times New Roman" w:eastAsia="Calibri" w:hAnsi="Times New Roman" w:cs="Times New Roman"/>
          <w:sz w:val="24"/>
          <w:szCs w:val="24"/>
        </w:rPr>
        <w:sectPr w:rsidR="006A073C" w:rsidSect="0023531C">
          <w:type w:val="continuous"/>
          <w:pgSz w:w="11906" w:h="16838"/>
          <w:pgMar w:top="1418" w:right="1701" w:bottom="1418" w:left="2268" w:header="720" w:footer="720" w:gutter="0"/>
          <w:pgNumType w:fmt="lowerRoman"/>
          <w:cols w:space="720"/>
          <w:docGrid w:linePitch="360"/>
        </w:sectPr>
      </w:pPr>
      <w:r w:rsidRPr="00E97E0B">
        <w:rPr>
          <w:rFonts w:ascii="Times New Roman" w:eastAsia="Calibri" w:hAnsi="Times New Roman" w:cs="Times New Roman"/>
          <w:b/>
          <w:bCs/>
          <w:sz w:val="24"/>
          <w:szCs w:val="24"/>
        </w:rPr>
        <w:t>Anahtar Kelimeler:</w:t>
      </w:r>
      <w:r w:rsidRPr="00E97E0B">
        <w:rPr>
          <w:rFonts w:ascii="Times New Roman" w:eastAsia="Calibri" w:hAnsi="Times New Roman" w:cs="Times New Roman"/>
          <w:sz w:val="24"/>
          <w:szCs w:val="24"/>
        </w:rPr>
        <w:t xml:space="preserve"> </w:t>
      </w:r>
      <w:r w:rsidR="001B18FB" w:rsidRPr="00E97E0B">
        <w:rPr>
          <w:rFonts w:ascii="Times New Roman" w:eastAsia="Calibri" w:hAnsi="Times New Roman" w:cs="Times New Roman"/>
          <w:sz w:val="24"/>
          <w:szCs w:val="24"/>
        </w:rPr>
        <w:t>S</w:t>
      </w:r>
      <w:r w:rsidRPr="00E97E0B">
        <w:rPr>
          <w:rFonts w:ascii="Times New Roman" w:eastAsia="Calibri" w:hAnsi="Times New Roman" w:cs="Times New Roman"/>
          <w:sz w:val="24"/>
          <w:szCs w:val="24"/>
        </w:rPr>
        <w:t>öylem analizi,</w:t>
      </w:r>
      <w:r w:rsidR="001B18FB" w:rsidRPr="00E97E0B">
        <w:rPr>
          <w:rFonts w:ascii="Times New Roman" w:eastAsia="Calibri" w:hAnsi="Times New Roman" w:cs="Times New Roman"/>
          <w:sz w:val="24"/>
          <w:szCs w:val="24"/>
        </w:rPr>
        <w:t xml:space="preserve"> siyasal söylem, ötekinin inşası,</w:t>
      </w:r>
      <w:r w:rsidRPr="00E97E0B">
        <w:rPr>
          <w:rFonts w:ascii="Times New Roman" w:eastAsia="Calibri" w:hAnsi="Times New Roman" w:cs="Times New Roman"/>
          <w:sz w:val="24"/>
          <w:szCs w:val="24"/>
        </w:rPr>
        <w:t xml:space="preserve"> </w:t>
      </w:r>
      <w:r w:rsidR="0024654B" w:rsidRPr="00E97E0B">
        <w:rPr>
          <w:rFonts w:ascii="Times New Roman" w:eastAsia="Calibri" w:hAnsi="Times New Roman" w:cs="Times New Roman"/>
          <w:sz w:val="24"/>
          <w:szCs w:val="24"/>
        </w:rPr>
        <w:t>Erdoğan, Sarkozy</w:t>
      </w:r>
      <w:r w:rsidR="006D239A" w:rsidRPr="00E97E0B">
        <w:rPr>
          <w:rFonts w:ascii="Times New Roman" w:eastAsia="Calibri" w:hAnsi="Times New Roman" w:cs="Times New Roman"/>
          <w:sz w:val="24"/>
          <w:szCs w:val="24"/>
        </w:rPr>
        <w:t>.</w:t>
      </w:r>
    </w:p>
    <w:p w14:paraId="448F4DEF" w14:textId="77777777" w:rsidR="002858AE" w:rsidRPr="00E97E0B" w:rsidRDefault="002858AE" w:rsidP="005752BA">
      <w:pPr>
        <w:pStyle w:val="Heading1"/>
        <w:spacing w:before="480" w:after="360"/>
        <w:jc w:val="center"/>
      </w:pPr>
      <w:bookmarkStart w:id="2" w:name="_Toc137381660"/>
      <w:bookmarkStart w:id="3" w:name="_Toc141133047"/>
      <w:r w:rsidRPr="00E97E0B">
        <w:lastRenderedPageBreak/>
        <w:t>ABSTRACT</w:t>
      </w:r>
      <w:bookmarkEnd w:id="2"/>
      <w:bookmarkEnd w:id="3"/>
    </w:p>
    <w:p w14:paraId="478F2C63" w14:textId="5F04AB0B" w:rsidR="002858AE" w:rsidRPr="00E97E0B" w:rsidRDefault="002858AE" w:rsidP="00342A1A">
      <w:pPr>
        <w:spacing w:after="0" w:line="360" w:lineRule="auto"/>
        <w:jc w:val="center"/>
        <w:rPr>
          <w:rFonts w:ascii="Times" w:eastAsia="Calibri" w:hAnsi="Times" w:cs="Times New Roman"/>
          <w:b/>
          <w:sz w:val="24"/>
          <w:szCs w:val="24"/>
        </w:rPr>
      </w:pPr>
      <w:r w:rsidRPr="00E97E0B">
        <w:rPr>
          <w:rFonts w:ascii="Times" w:eastAsia="Calibri" w:hAnsi="Times" w:cs="Times New Roman"/>
          <w:b/>
          <w:sz w:val="24"/>
          <w:szCs w:val="24"/>
        </w:rPr>
        <w:t>POLITICAL DISCOURSE IN TURKEY AND FRANCE: CONSTRUCTION OF “OTHER” (2007-2012)</w:t>
      </w:r>
    </w:p>
    <w:p w14:paraId="5AA6B5C5" w14:textId="77777777" w:rsidR="002858AE" w:rsidRPr="00E97E0B" w:rsidRDefault="002858AE" w:rsidP="00342A1A">
      <w:pPr>
        <w:autoSpaceDE w:val="0"/>
        <w:autoSpaceDN w:val="0"/>
        <w:adjustRightInd w:val="0"/>
        <w:spacing w:before="120" w:after="0" w:line="240" w:lineRule="auto"/>
        <w:jc w:val="center"/>
        <w:rPr>
          <w:rFonts w:ascii="Times New Roman" w:eastAsia="Calibri" w:hAnsi="Times New Roman" w:cs="Times New Roman"/>
          <w:color w:val="000000"/>
          <w:sz w:val="24"/>
          <w:szCs w:val="24"/>
        </w:rPr>
      </w:pPr>
      <w:r w:rsidRPr="00E97E0B">
        <w:rPr>
          <w:rFonts w:ascii="Times New Roman" w:eastAsia="Calibri" w:hAnsi="Times New Roman" w:cs="Times New Roman"/>
          <w:color w:val="000000"/>
          <w:sz w:val="24"/>
          <w:szCs w:val="24"/>
        </w:rPr>
        <w:t>ANARAT, Cemal Cem</w:t>
      </w:r>
    </w:p>
    <w:p w14:paraId="48981E4F" w14:textId="77777777" w:rsidR="002858AE" w:rsidRPr="00E97E0B" w:rsidRDefault="002858AE" w:rsidP="002858A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97E0B">
        <w:rPr>
          <w:rFonts w:ascii="Times New Roman" w:eastAsia="Calibri" w:hAnsi="Times New Roman" w:cs="Times New Roman"/>
          <w:color w:val="000000"/>
          <w:sz w:val="24"/>
          <w:szCs w:val="24"/>
        </w:rPr>
        <w:t xml:space="preserve">PhD Thesis, Political Science and Public Administration Department, Political Science and Public Administration Program </w:t>
      </w:r>
    </w:p>
    <w:p w14:paraId="0ECF8B14" w14:textId="77777777" w:rsidR="002858AE" w:rsidRPr="00E97E0B" w:rsidRDefault="002858AE" w:rsidP="002858AE">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97E0B">
        <w:rPr>
          <w:rFonts w:ascii="Times New Roman" w:eastAsia="Calibri" w:hAnsi="Times New Roman" w:cs="Times New Roman"/>
          <w:color w:val="000000"/>
          <w:sz w:val="24"/>
          <w:szCs w:val="24"/>
        </w:rPr>
        <w:t>Supervisor: Doç. Dr. İdil Tunçer Kılavuz</w:t>
      </w:r>
    </w:p>
    <w:p w14:paraId="4B173197" w14:textId="21BD76C2" w:rsidR="002858AE" w:rsidRPr="00E97E0B" w:rsidRDefault="002858AE" w:rsidP="002858AE">
      <w:pPr>
        <w:spacing w:before="120" w:after="120" w:line="360" w:lineRule="auto"/>
        <w:jc w:val="center"/>
        <w:rPr>
          <w:rFonts w:ascii="Times New Roman" w:eastAsia="Calibri" w:hAnsi="Times New Roman" w:cs="Times New Roman"/>
          <w:sz w:val="24"/>
          <w:szCs w:val="24"/>
        </w:rPr>
      </w:pPr>
      <w:r w:rsidRPr="00E97E0B">
        <w:rPr>
          <w:rFonts w:ascii="Times New Roman" w:eastAsia="Calibri" w:hAnsi="Times New Roman" w:cs="Times New Roman"/>
          <w:sz w:val="24"/>
          <w:szCs w:val="24"/>
        </w:rPr>
        <w:t>Ju</w:t>
      </w:r>
      <w:r w:rsidR="00342A1A" w:rsidRPr="00E97E0B">
        <w:rPr>
          <w:rFonts w:ascii="Times New Roman" w:eastAsia="Calibri" w:hAnsi="Times New Roman" w:cs="Times New Roman"/>
          <w:sz w:val="24"/>
          <w:szCs w:val="24"/>
        </w:rPr>
        <w:t>ly</w:t>
      </w:r>
      <w:r w:rsidRPr="00E97E0B">
        <w:rPr>
          <w:rFonts w:ascii="Times New Roman" w:eastAsia="Calibri" w:hAnsi="Times New Roman" w:cs="Times New Roman"/>
          <w:sz w:val="24"/>
          <w:szCs w:val="24"/>
        </w:rPr>
        <w:t xml:space="preserve">, 2023, </w:t>
      </w:r>
      <w:r w:rsidR="00342A1A" w:rsidRPr="00E97E0B">
        <w:rPr>
          <w:rFonts w:ascii="Times New Roman" w:eastAsia="Calibri" w:hAnsi="Times New Roman" w:cs="Times New Roman"/>
          <w:sz w:val="24"/>
          <w:szCs w:val="24"/>
        </w:rPr>
        <w:t>3</w:t>
      </w:r>
      <w:r w:rsidR="009A656B">
        <w:rPr>
          <w:rFonts w:ascii="Times New Roman" w:eastAsia="Calibri" w:hAnsi="Times New Roman" w:cs="Times New Roman"/>
          <w:sz w:val="24"/>
          <w:szCs w:val="24"/>
        </w:rPr>
        <w:t>2</w:t>
      </w:r>
      <w:r w:rsidR="00575F63">
        <w:rPr>
          <w:rFonts w:ascii="Times New Roman" w:eastAsia="Calibri" w:hAnsi="Times New Roman" w:cs="Times New Roman"/>
          <w:sz w:val="24"/>
          <w:szCs w:val="24"/>
        </w:rPr>
        <w:t>7</w:t>
      </w:r>
      <w:r w:rsidRPr="00E97E0B">
        <w:rPr>
          <w:rFonts w:ascii="Times New Roman" w:eastAsia="Calibri" w:hAnsi="Times New Roman" w:cs="Times New Roman"/>
          <w:sz w:val="24"/>
          <w:szCs w:val="24"/>
        </w:rPr>
        <w:t xml:space="preserve"> pages</w:t>
      </w:r>
    </w:p>
    <w:p w14:paraId="53D657F4" w14:textId="77777777" w:rsidR="002858AE" w:rsidRPr="00E97E0B" w:rsidRDefault="002858AE" w:rsidP="00C51C5C">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This study aims to evaluate how the "Other" is constructed in political discourse in Turkey and France in the period of 2007-2012. Since constructing the "other" also means constructing one's own position, the former President of France Nicolas Sarkozy and the former Prime Minister of the Republic of Turkey Recep Tayyip Erdoğan, who were the highest ranking leaders in both countries, have been analyzed considering where they stand regarding who the ethnical, religious and political ‘other’s are and in which context and how they define them on the basis of various speeches and statements made by both politicians and heads of state between 2007 and 2012, when their terms of office overlapped. The strategies, meanings, sentence structures, style, context, and the categories and definitions they created within the framework of ideological tendencies and actions in their discourses were evaluated in order to understand and compare them. In this direction, the segments of speech</w:t>
      </w:r>
      <w:r w:rsidRPr="00E97E0B">
        <w:rPr>
          <w:rFonts w:ascii="Times New Roman" w:eastAsia="Calibri" w:hAnsi="Times New Roman" w:cs="Times New Roman"/>
          <w:strike/>
          <w:sz w:val="24"/>
          <w:szCs w:val="24"/>
        </w:rPr>
        <w:t xml:space="preserve"> </w:t>
      </w:r>
      <w:r w:rsidRPr="00E97E0B">
        <w:rPr>
          <w:rFonts w:ascii="Times New Roman" w:eastAsia="Calibri" w:hAnsi="Times New Roman" w:cs="Times New Roman"/>
          <w:sz w:val="24"/>
          <w:szCs w:val="24"/>
        </w:rPr>
        <w:t>of both leaders were analyzed in a wide range of notably official websites of the states, news websites and live speech videos, and those that were frequently repeated in their speeches or those attracted attention even if they are not frequently repeated, were selected and analyzed. The aim of the study is to describe and comprehend how two countries like Turkey and France, which claim to be models in their regions and have a strong historical interaction, but one of which is located in Western Europe and the other in the Mediterranean geography, and whose religions, languages and social structures are quite different, have their own internal others at the level of state leaders and how they position them at the beginning of the 21st century. The fact that the charismatic leadership characteristics and political stances of the two selected leaders were similar was found to be appropriate to see the differences in the countries. The study reveals that the approaches of the governments in both countries in dealing with the categories of the other were similar during the period analyzed in the study.</w:t>
      </w:r>
    </w:p>
    <w:p w14:paraId="26687E5B" w14:textId="77777777" w:rsidR="00342A1A" w:rsidRPr="00E97E0B" w:rsidRDefault="00342A1A" w:rsidP="002858AE">
      <w:pPr>
        <w:spacing w:before="120" w:after="120" w:line="360" w:lineRule="auto"/>
        <w:jc w:val="both"/>
        <w:rPr>
          <w:rFonts w:ascii="Times New Roman" w:eastAsia="Calibri" w:hAnsi="Times New Roman" w:cs="Times New Roman"/>
          <w:b/>
          <w:bCs/>
          <w:sz w:val="24"/>
          <w:szCs w:val="24"/>
        </w:rPr>
      </w:pPr>
    </w:p>
    <w:p w14:paraId="60F90D45" w14:textId="601BD287" w:rsidR="002858AE" w:rsidRPr="00E97E0B" w:rsidRDefault="002858AE" w:rsidP="002858AE">
      <w:pPr>
        <w:spacing w:before="120" w:after="120" w:line="360" w:lineRule="auto"/>
        <w:jc w:val="both"/>
        <w:rPr>
          <w:rFonts w:ascii="Times New Roman" w:eastAsia="Calibri" w:hAnsi="Times New Roman" w:cs="Times New Roman"/>
          <w:b/>
          <w:bCs/>
          <w:sz w:val="24"/>
          <w:szCs w:val="24"/>
        </w:rPr>
      </w:pPr>
      <w:r w:rsidRPr="00E97E0B">
        <w:rPr>
          <w:rFonts w:ascii="Times New Roman" w:eastAsia="Calibri" w:hAnsi="Times New Roman" w:cs="Times New Roman"/>
          <w:b/>
          <w:bCs/>
          <w:sz w:val="24"/>
          <w:szCs w:val="24"/>
        </w:rPr>
        <w:t xml:space="preserve">Keywords: </w:t>
      </w:r>
      <w:r w:rsidRPr="00E97E0B">
        <w:rPr>
          <w:rFonts w:ascii="Times New Roman" w:eastAsia="Calibri" w:hAnsi="Times New Roman" w:cs="Times New Roman"/>
          <w:sz w:val="24"/>
          <w:szCs w:val="24"/>
        </w:rPr>
        <w:t>Discourse analysis, political discourse, construction of other,</w:t>
      </w:r>
      <w:r w:rsidR="00CA65E6" w:rsidRPr="00E97E0B">
        <w:rPr>
          <w:rFonts w:ascii="Times New Roman" w:eastAsia="Calibri" w:hAnsi="Times New Roman" w:cs="Times New Roman"/>
          <w:sz w:val="24"/>
          <w:szCs w:val="24"/>
        </w:rPr>
        <w:t xml:space="preserve"> </w:t>
      </w:r>
      <w:r w:rsidR="0024654B" w:rsidRPr="00E97E0B">
        <w:rPr>
          <w:rFonts w:ascii="Times New Roman" w:eastAsia="Calibri" w:hAnsi="Times New Roman" w:cs="Times New Roman"/>
          <w:sz w:val="24"/>
          <w:szCs w:val="24"/>
        </w:rPr>
        <w:t>Erdoğan, Sarkozy</w:t>
      </w:r>
      <w:r w:rsidR="006D239A" w:rsidRPr="00E97E0B">
        <w:rPr>
          <w:rFonts w:ascii="Times New Roman" w:eastAsia="Calibri" w:hAnsi="Times New Roman" w:cs="Times New Roman"/>
          <w:sz w:val="24"/>
          <w:szCs w:val="24"/>
        </w:rPr>
        <w:t>.</w:t>
      </w:r>
    </w:p>
    <w:p w14:paraId="43CB0813" w14:textId="77777777" w:rsidR="006A073C" w:rsidRDefault="006A073C" w:rsidP="00C51C5C">
      <w:pPr>
        <w:spacing w:before="120" w:after="120" w:line="360" w:lineRule="auto"/>
        <w:jc w:val="both"/>
        <w:rPr>
          <w:rFonts w:ascii="Times New Roman" w:eastAsia="Calibri" w:hAnsi="Times New Roman" w:cs="Times New Roman"/>
          <w:b/>
          <w:bCs/>
          <w:sz w:val="24"/>
          <w:szCs w:val="24"/>
        </w:rPr>
        <w:sectPr w:rsidR="006A073C" w:rsidSect="006A073C">
          <w:pgSz w:w="11906" w:h="16838"/>
          <w:pgMar w:top="1418" w:right="1701" w:bottom="1418" w:left="2268" w:header="720" w:footer="720" w:gutter="0"/>
          <w:pgNumType w:fmt="lowerRoman"/>
          <w:cols w:space="720"/>
          <w:docGrid w:linePitch="360"/>
        </w:sectPr>
      </w:pPr>
    </w:p>
    <w:p w14:paraId="65660664" w14:textId="77777777" w:rsidR="002858AE" w:rsidRPr="00E97E0B" w:rsidRDefault="002858AE" w:rsidP="005752BA">
      <w:pPr>
        <w:keepNext/>
        <w:keepLines/>
        <w:spacing w:before="480" w:after="240" w:line="360" w:lineRule="auto"/>
        <w:ind w:firstLine="851"/>
        <w:jc w:val="center"/>
        <w:outlineLvl w:val="0"/>
        <w:rPr>
          <w:rFonts w:ascii="Times" w:eastAsia="Times New Roman" w:hAnsi="Times" w:cs="Times New Roman"/>
          <w:b/>
          <w:color w:val="000000"/>
          <w:sz w:val="28"/>
          <w:szCs w:val="24"/>
        </w:rPr>
      </w:pPr>
      <w:bookmarkStart w:id="4" w:name="_Toc141133048"/>
      <w:r w:rsidRPr="00E97E0B">
        <w:rPr>
          <w:rFonts w:ascii="Times" w:eastAsia="Times New Roman" w:hAnsi="Times" w:cs="Times New Roman"/>
          <w:b/>
          <w:color w:val="000000"/>
          <w:sz w:val="28"/>
          <w:szCs w:val="24"/>
        </w:rPr>
        <w:lastRenderedPageBreak/>
        <w:t>İÇİNDEKİLER</w:t>
      </w:r>
      <w:bookmarkEnd w:id="4"/>
    </w:p>
    <w:p w14:paraId="2CA1819B" w14:textId="13FA47EA" w:rsidR="00140CEB" w:rsidRPr="00140CEB" w:rsidRDefault="008631D1">
      <w:pPr>
        <w:pStyle w:val="TOC1"/>
        <w:rPr>
          <w:rFonts w:ascii="Times" w:eastAsiaTheme="minorEastAsia" w:hAnsi="Times" w:cstheme="minorBidi"/>
          <w:b w:val="0"/>
          <w:bCs w:val="0"/>
          <w:lang w:val="en-US"/>
        </w:rPr>
      </w:pPr>
      <w:r w:rsidRPr="00AB3B54">
        <w:rPr>
          <w:rFonts w:ascii="Times" w:eastAsia="Calibri" w:hAnsi="Times" w:cs="Times"/>
        </w:rPr>
        <w:fldChar w:fldCharType="begin"/>
      </w:r>
      <w:r w:rsidRPr="00AB3B54">
        <w:rPr>
          <w:rFonts w:ascii="Times" w:eastAsia="Calibri" w:hAnsi="Times" w:cs="Times"/>
        </w:rPr>
        <w:instrText xml:space="preserve"> TOC \o "1-4" \h \z \u </w:instrText>
      </w:r>
      <w:r w:rsidRPr="00AB3B54">
        <w:rPr>
          <w:rFonts w:ascii="Times" w:eastAsia="Calibri" w:hAnsi="Times" w:cs="Times"/>
        </w:rPr>
        <w:fldChar w:fldCharType="separate"/>
      </w:r>
      <w:hyperlink w:anchor="_Toc141133045" w:history="1">
        <w:r w:rsidR="00140CEB" w:rsidRPr="00140CEB">
          <w:rPr>
            <w:rStyle w:val="Hyperlink"/>
            <w:rFonts w:ascii="Times" w:eastAsia="Times New Roman" w:hAnsi="Times"/>
          </w:rPr>
          <w:t>TEŞEKKÜR</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_Toc141133045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iii</w:t>
        </w:r>
        <w:r w:rsidR="00140CEB" w:rsidRPr="00140CEB">
          <w:rPr>
            <w:rFonts w:ascii="Times" w:hAnsi="Times"/>
            <w:webHidden/>
          </w:rPr>
          <w:fldChar w:fldCharType="end"/>
        </w:r>
      </w:hyperlink>
    </w:p>
    <w:p w14:paraId="4AF5E635" w14:textId="3D623A2F" w:rsidR="00140CEB" w:rsidRPr="00140CEB" w:rsidRDefault="002072EB">
      <w:pPr>
        <w:pStyle w:val="TOC1"/>
        <w:rPr>
          <w:rFonts w:ascii="Times" w:eastAsiaTheme="minorEastAsia" w:hAnsi="Times" w:cstheme="minorBidi"/>
          <w:b w:val="0"/>
          <w:bCs w:val="0"/>
          <w:lang w:val="en-US"/>
        </w:rPr>
      </w:pPr>
      <w:hyperlink w:anchor="_Toc141133046" w:history="1">
        <w:r w:rsidR="00140CEB" w:rsidRPr="00140CEB">
          <w:rPr>
            <w:rStyle w:val="Hyperlink"/>
            <w:rFonts w:ascii="Times" w:eastAsia="Times New Roman" w:hAnsi="Times"/>
          </w:rPr>
          <w:t>ÖZET</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_Toc141133046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iv</w:t>
        </w:r>
        <w:r w:rsidR="00140CEB" w:rsidRPr="00140CEB">
          <w:rPr>
            <w:rFonts w:ascii="Times" w:hAnsi="Times"/>
            <w:webHidden/>
          </w:rPr>
          <w:fldChar w:fldCharType="end"/>
        </w:r>
      </w:hyperlink>
    </w:p>
    <w:p w14:paraId="568D635B" w14:textId="26BB144F" w:rsidR="00140CEB" w:rsidRPr="00140CEB" w:rsidRDefault="002072EB">
      <w:pPr>
        <w:pStyle w:val="TOC1"/>
        <w:rPr>
          <w:rFonts w:ascii="Times" w:eastAsiaTheme="minorEastAsia" w:hAnsi="Times" w:cstheme="minorBidi"/>
          <w:b w:val="0"/>
          <w:bCs w:val="0"/>
          <w:lang w:val="en-US"/>
        </w:rPr>
      </w:pPr>
      <w:hyperlink w:anchor="_Toc141133047" w:history="1">
        <w:r w:rsidR="00140CEB" w:rsidRPr="00140CEB">
          <w:rPr>
            <w:rStyle w:val="Hyperlink"/>
            <w:rFonts w:ascii="Times" w:hAnsi="Times"/>
          </w:rPr>
          <w:t>ABSTRACT</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_Toc141133047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v</w:t>
        </w:r>
        <w:r w:rsidR="00140CEB" w:rsidRPr="00140CEB">
          <w:rPr>
            <w:rFonts w:ascii="Times" w:hAnsi="Times"/>
            <w:webHidden/>
          </w:rPr>
          <w:fldChar w:fldCharType="end"/>
        </w:r>
      </w:hyperlink>
    </w:p>
    <w:p w14:paraId="09298DAD" w14:textId="5AB1E045" w:rsidR="00140CEB" w:rsidRPr="00140CEB" w:rsidRDefault="002072EB">
      <w:pPr>
        <w:pStyle w:val="TOC1"/>
        <w:rPr>
          <w:rFonts w:ascii="Times" w:eastAsiaTheme="minorEastAsia" w:hAnsi="Times" w:cstheme="minorBidi"/>
          <w:b w:val="0"/>
          <w:bCs w:val="0"/>
          <w:lang w:val="en-US"/>
        </w:rPr>
      </w:pPr>
      <w:hyperlink w:anchor="_Toc141133048" w:history="1">
        <w:r w:rsidR="00140CEB" w:rsidRPr="00140CEB">
          <w:rPr>
            <w:rStyle w:val="Hyperlink"/>
            <w:rFonts w:ascii="Times" w:eastAsia="Times New Roman" w:hAnsi="Times"/>
          </w:rPr>
          <w:t>İÇİNDEKİLER</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_Toc141133048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vi</w:t>
        </w:r>
        <w:r w:rsidR="00140CEB" w:rsidRPr="00140CEB">
          <w:rPr>
            <w:rFonts w:ascii="Times" w:hAnsi="Times"/>
            <w:webHidden/>
          </w:rPr>
          <w:fldChar w:fldCharType="end"/>
        </w:r>
      </w:hyperlink>
    </w:p>
    <w:p w14:paraId="1A2CE3BE" w14:textId="277D4AD0" w:rsidR="00140CEB" w:rsidRPr="00140CEB" w:rsidRDefault="002072EB">
      <w:pPr>
        <w:pStyle w:val="TOC1"/>
        <w:rPr>
          <w:rFonts w:ascii="Times" w:eastAsiaTheme="minorEastAsia" w:hAnsi="Times" w:cstheme="minorBidi"/>
          <w:b w:val="0"/>
          <w:bCs w:val="0"/>
          <w:lang w:val="en-US"/>
        </w:rPr>
      </w:pPr>
      <w:hyperlink w:anchor="_Toc141133049" w:history="1">
        <w:r w:rsidR="00140CEB" w:rsidRPr="00140CEB">
          <w:rPr>
            <w:rStyle w:val="Hyperlink"/>
            <w:rFonts w:ascii="Times" w:eastAsia="Times New Roman" w:hAnsi="Times"/>
          </w:rPr>
          <w:t>BÖLÜM 1</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_Toc141133049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w:t>
        </w:r>
        <w:r w:rsidR="00140CEB" w:rsidRPr="00140CEB">
          <w:rPr>
            <w:rFonts w:ascii="Times" w:hAnsi="Times"/>
            <w:webHidden/>
          </w:rPr>
          <w:fldChar w:fldCharType="end"/>
        </w:r>
      </w:hyperlink>
    </w:p>
    <w:p w14:paraId="4729A4D9" w14:textId="547D4906" w:rsidR="00140CEB" w:rsidRPr="00140CEB" w:rsidRDefault="002072EB">
      <w:pPr>
        <w:pStyle w:val="TOC1"/>
        <w:rPr>
          <w:rFonts w:ascii="Times" w:eastAsiaTheme="minorEastAsia" w:hAnsi="Times" w:cstheme="minorBidi"/>
          <w:b w:val="0"/>
          <w:bCs w:val="0"/>
          <w:lang w:val="en-US"/>
        </w:rPr>
      </w:pPr>
      <w:hyperlink w:anchor="_Toc141133050" w:history="1">
        <w:r w:rsidR="00140CEB" w:rsidRPr="00140CEB">
          <w:rPr>
            <w:rStyle w:val="Hyperlink"/>
            <w:rFonts w:ascii="Times" w:eastAsia="Times New Roman" w:hAnsi="Times"/>
          </w:rPr>
          <w:t>GİRİŞ</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_Toc141133050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w:t>
        </w:r>
        <w:r w:rsidR="00140CEB" w:rsidRPr="00140CEB">
          <w:rPr>
            <w:rFonts w:ascii="Times" w:hAnsi="Times"/>
            <w:webHidden/>
          </w:rPr>
          <w:fldChar w:fldCharType="end"/>
        </w:r>
      </w:hyperlink>
    </w:p>
    <w:p w14:paraId="23A5F4D9" w14:textId="221A403E" w:rsidR="00140CEB" w:rsidRPr="00140CEB" w:rsidRDefault="002072EB">
      <w:pPr>
        <w:pStyle w:val="TOC2"/>
        <w:tabs>
          <w:tab w:val="left" w:pos="960"/>
        </w:tabs>
        <w:rPr>
          <w:rFonts w:ascii="Times" w:eastAsiaTheme="minorEastAsia" w:hAnsi="Times" w:cstheme="minorBidi"/>
          <w:lang w:val="en-US"/>
        </w:rPr>
      </w:pPr>
      <w:hyperlink w:anchor="_Toc141133051" w:history="1">
        <w:r w:rsidR="00140CEB" w:rsidRPr="00140CEB">
          <w:rPr>
            <w:rStyle w:val="Hyperlink"/>
            <w:rFonts w:ascii="Times" w:hAnsi="Times"/>
          </w:rPr>
          <w:t>1.1.</w:t>
        </w:r>
        <w:r w:rsidR="00140CEB" w:rsidRPr="00140CEB">
          <w:rPr>
            <w:rFonts w:ascii="Times" w:eastAsiaTheme="minorEastAsia" w:hAnsi="Times" w:cstheme="minorBidi"/>
            <w:lang w:val="en-US"/>
          </w:rPr>
          <w:t xml:space="preserve"> </w:t>
        </w:r>
        <w:r w:rsidR="00140CEB" w:rsidRPr="00140CEB">
          <w:rPr>
            <w:rStyle w:val="Hyperlink"/>
            <w:rFonts w:ascii="Times" w:hAnsi="Times"/>
          </w:rPr>
          <w:t>Araştırmanın Yöntemi</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_Toc141133051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11</w:t>
        </w:r>
        <w:r w:rsidR="00140CEB" w:rsidRPr="00140CEB">
          <w:rPr>
            <w:rFonts w:ascii="Times" w:hAnsi="Times"/>
            <w:webHidden/>
          </w:rPr>
          <w:fldChar w:fldCharType="end"/>
        </w:r>
      </w:hyperlink>
    </w:p>
    <w:p w14:paraId="30AEDE68" w14:textId="3B043505" w:rsidR="00140CEB" w:rsidRPr="00140CEB" w:rsidRDefault="002072EB">
      <w:pPr>
        <w:pStyle w:val="TOC2"/>
        <w:rPr>
          <w:rFonts w:ascii="Times" w:eastAsiaTheme="minorEastAsia" w:hAnsi="Times" w:cstheme="minorBidi"/>
          <w:lang w:val="en-US"/>
        </w:rPr>
      </w:pPr>
      <w:hyperlink w:anchor="_Toc141133052" w:history="1">
        <w:r w:rsidR="00140CEB" w:rsidRPr="00140CEB">
          <w:rPr>
            <w:rStyle w:val="Hyperlink"/>
            <w:rFonts w:ascii="Times" w:hAnsi="Times"/>
          </w:rPr>
          <w:t>1.2. Analiz Çerçevesi</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_Toc141133052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14</w:t>
        </w:r>
        <w:r w:rsidR="00140CEB" w:rsidRPr="00140CEB">
          <w:rPr>
            <w:rFonts w:ascii="Times" w:hAnsi="Times"/>
            <w:webHidden/>
          </w:rPr>
          <w:fldChar w:fldCharType="end"/>
        </w:r>
      </w:hyperlink>
    </w:p>
    <w:p w14:paraId="3F9710C0" w14:textId="25BC4071" w:rsidR="00140CEB" w:rsidRPr="00140CEB" w:rsidRDefault="002072EB">
      <w:pPr>
        <w:pStyle w:val="TOC1"/>
        <w:rPr>
          <w:rFonts w:ascii="Times" w:eastAsiaTheme="minorEastAsia" w:hAnsi="Times" w:cstheme="minorBidi"/>
          <w:b w:val="0"/>
          <w:bCs w:val="0"/>
          <w:lang w:val="en-US"/>
        </w:rPr>
      </w:pPr>
      <w:hyperlink w:anchor="_Toc141133053" w:history="1">
        <w:r w:rsidR="00140CEB" w:rsidRPr="00140CEB">
          <w:rPr>
            <w:rStyle w:val="Hyperlink"/>
            <w:rFonts w:ascii="Times" w:eastAsia="Times New Roman" w:hAnsi="Times"/>
          </w:rPr>
          <w:t>BÖLÜM 2</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_Toc141133053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17</w:t>
        </w:r>
        <w:r w:rsidR="00140CEB" w:rsidRPr="00140CEB">
          <w:rPr>
            <w:rFonts w:ascii="Times" w:hAnsi="Times"/>
            <w:webHidden/>
          </w:rPr>
          <w:fldChar w:fldCharType="end"/>
        </w:r>
      </w:hyperlink>
    </w:p>
    <w:p w14:paraId="216A6ED8" w14:textId="0AE55501" w:rsidR="00140CEB" w:rsidRPr="00140CEB" w:rsidRDefault="002072EB">
      <w:pPr>
        <w:pStyle w:val="TOC1"/>
        <w:rPr>
          <w:rFonts w:ascii="Times" w:eastAsiaTheme="minorEastAsia" w:hAnsi="Times" w:cstheme="minorBidi"/>
          <w:b w:val="0"/>
          <w:bCs w:val="0"/>
          <w:lang w:val="en-US"/>
        </w:rPr>
      </w:pPr>
      <w:hyperlink w:anchor="_Toc141133054" w:history="1">
        <w:r w:rsidR="00140CEB" w:rsidRPr="00140CEB">
          <w:rPr>
            <w:rStyle w:val="Hyperlink"/>
            <w:rFonts w:ascii="Times" w:hAnsi="Times"/>
          </w:rPr>
          <w:t>KURAMSAL ÇERÇEVE</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_Toc141133054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17</w:t>
        </w:r>
        <w:r w:rsidR="00140CEB" w:rsidRPr="00140CEB">
          <w:rPr>
            <w:rFonts w:ascii="Times" w:hAnsi="Times"/>
            <w:webHidden/>
          </w:rPr>
          <w:fldChar w:fldCharType="end"/>
        </w:r>
      </w:hyperlink>
    </w:p>
    <w:p w14:paraId="0B2B06D3" w14:textId="539E5B43" w:rsidR="00140CEB" w:rsidRPr="00140CEB" w:rsidRDefault="002072EB">
      <w:pPr>
        <w:pStyle w:val="TOC2"/>
        <w:rPr>
          <w:rFonts w:ascii="Times" w:eastAsiaTheme="minorEastAsia" w:hAnsi="Times" w:cstheme="minorBidi"/>
          <w:lang w:val="en-US"/>
        </w:rPr>
      </w:pPr>
      <w:hyperlink w:anchor="_Toc141133055" w:history="1">
        <w:r w:rsidR="00140CEB" w:rsidRPr="00140CEB">
          <w:rPr>
            <w:rStyle w:val="Hyperlink"/>
            <w:rFonts w:ascii="Times" w:hAnsi="Times"/>
          </w:rPr>
          <w:t>2.1. Söylem Kavramı</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_Toc141133055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18</w:t>
        </w:r>
        <w:r w:rsidR="00140CEB" w:rsidRPr="00140CEB">
          <w:rPr>
            <w:rFonts w:ascii="Times" w:hAnsi="Times"/>
            <w:webHidden/>
          </w:rPr>
          <w:fldChar w:fldCharType="end"/>
        </w:r>
      </w:hyperlink>
    </w:p>
    <w:p w14:paraId="0CB18287" w14:textId="3B0437D5" w:rsidR="00140CEB" w:rsidRPr="00140CEB" w:rsidRDefault="002072EB">
      <w:pPr>
        <w:pStyle w:val="TOC2"/>
        <w:rPr>
          <w:rFonts w:ascii="Times" w:eastAsiaTheme="minorEastAsia" w:hAnsi="Times" w:cstheme="minorBidi"/>
          <w:lang w:val="en-US"/>
        </w:rPr>
      </w:pPr>
      <w:hyperlink w:anchor="_Toc141133056" w:history="1">
        <w:r w:rsidR="00140CEB" w:rsidRPr="00140CEB">
          <w:rPr>
            <w:rStyle w:val="Hyperlink"/>
            <w:rFonts w:ascii="Times" w:hAnsi="Times"/>
          </w:rPr>
          <w:t>2.2. Söylem Analizi</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_Toc141133056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21</w:t>
        </w:r>
        <w:r w:rsidR="00140CEB" w:rsidRPr="00140CEB">
          <w:rPr>
            <w:rFonts w:ascii="Times" w:hAnsi="Times"/>
            <w:webHidden/>
          </w:rPr>
          <w:fldChar w:fldCharType="end"/>
        </w:r>
      </w:hyperlink>
    </w:p>
    <w:p w14:paraId="10E93F86" w14:textId="2DD65903" w:rsidR="00140CEB" w:rsidRPr="00140CEB" w:rsidRDefault="002072EB">
      <w:pPr>
        <w:pStyle w:val="TOC3"/>
        <w:tabs>
          <w:tab w:val="right" w:leader="dot" w:pos="7927"/>
        </w:tabs>
        <w:rPr>
          <w:rFonts w:ascii="Times" w:eastAsiaTheme="minorEastAsia" w:hAnsi="Times"/>
          <w:noProof/>
          <w:sz w:val="24"/>
          <w:szCs w:val="24"/>
          <w:lang w:val="en-US"/>
        </w:rPr>
      </w:pPr>
      <w:hyperlink w:anchor="_Toc141133057" w:history="1">
        <w:r w:rsidR="00140CEB" w:rsidRPr="00140CEB">
          <w:rPr>
            <w:rStyle w:val="Hyperlink"/>
            <w:rFonts w:ascii="Times" w:hAnsi="Times"/>
            <w:noProof/>
            <w:sz w:val="24"/>
            <w:szCs w:val="24"/>
          </w:rPr>
          <w:t>2.2.1. Söylem Açısından Bağlam</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_Toc141133057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27</w:t>
        </w:r>
        <w:r w:rsidR="00140CEB" w:rsidRPr="00140CEB">
          <w:rPr>
            <w:rFonts w:ascii="Times" w:hAnsi="Times"/>
            <w:noProof/>
            <w:webHidden/>
            <w:sz w:val="24"/>
            <w:szCs w:val="24"/>
          </w:rPr>
          <w:fldChar w:fldCharType="end"/>
        </w:r>
      </w:hyperlink>
    </w:p>
    <w:p w14:paraId="5F36C049" w14:textId="20A6BA8D" w:rsidR="00140CEB" w:rsidRPr="00140CEB" w:rsidRDefault="002072EB">
      <w:pPr>
        <w:pStyle w:val="TOC3"/>
        <w:tabs>
          <w:tab w:val="right" w:leader="dot" w:pos="7927"/>
        </w:tabs>
        <w:rPr>
          <w:rFonts w:ascii="Times" w:eastAsiaTheme="minorEastAsia" w:hAnsi="Times"/>
          <w:noProof/>
          <w:sz w:val="24"/>
          <w:szCs w:val="24"/>
          <w:lang w:val="en-US"/>
        </w:rPr>
      </w:pPr>
      <w:hyperlink w:anchor="_Toc141133058" w:history="1">
        <w:r w:rsidR="00140CEB" w:rsidRPr="00140CEB">
          <w:rPr>
            <w:rStyle w:val="Hyperlink"/>
            <w:rFonts w:ascii="Times" w:hAnsi="Times"/>
            <w:noProof/>
            <w:sz w:val="24"/>
            <w:szCs w:val="24"/>
          </w:rPr>
          <w:t>2.2.2. Üslup</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_Toc141133058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29</w:t>
        </w:r>
        <w:r w:rsidR="00140CEB" w:rsidRPr="00140CEB">
          <w:rPr>
            <w:rFonts w:ascii="Times" w:hAnsi="Times"/>
            <w:noProof/>
            <w:webHidden/>
            <w:sz w:val="24"/>
            <w:szCs w:val="24"/>
          </w:rPr>
          <w:fldChar w:fldCharType="end"/>
        </w:r>
      </w:hyperlink>
    </w:p>
    <w:p w14:paraId="527B8ABB" w14:textId="39096C72" w:rsidR="00140CEB" w:rsidRPr="00140CEB" w:rsidRDefault="002072EB">
      <w:pPr>
        <w:pStyle w:val="TOC3"/>
        <w:tabs>
          <w:tab w:val="right" w:leader="dot" w:pos="7927"/>
        </w:tabs>
        <w:rPr>
          <w:rFonts w:ascii="Times" w:eastAsiaTheme="minorEastAsia" w:hAnsi="Times"/>
          <w:noProof/>
          <w:sz w:val="24"/>
          <w:szCs w:val="24"/>
          <w:lang w:val="en-US"/>
        </w:rPr>
      </w:pPr>
      <w:hyperlink w:anchor="_Toc141133059" w:history="1">
        <w:r w:rsidR="00140CEB" w:rsidRPr="00140CEB">
          <w:rPr>
            <w:rStyle w:val="Hyperlink"/>
            <w:rFonts w:ascii="Times" w:hAnsi="Times"/>
            <w:noProof/>
            <w:sz w:val="24"/>
            <w:szCs w:val="24"/>
          </w:rPr>
          <w:t>2.2.3. Politik Söylem Hakkında</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_Toc141133059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32</w:t>
        </w:r>
        <w:r w:rsidR="00140CEB" w:rsidRPr="00140CEB">
          <w:rPr>
            <w:rFonts w:ascii="Times" w:hAnsi="Times"/>
            <w:noProof/>
            <w:webHidden/>
            <w:sz w:val="24"/>
            <w:szCs w:val="24"/>
          </w:rPr>
          <w:fldChar w:fldCharType="end"/>
        </w:r>
      </w:hyperlink>
    </w:p>
    <w:p w14:paraId="68861C72" w14:textId="09EC4CB9" w:rsidR="00140CEB" w:rsidRPr="00140CEB" w:rsidRDefault="002072EB">
      <w:pPr>
        <w:pStyle w:val="TOC3"/>
        <w:tabs>
          <w:tab w:val="right" w:leader="dot" w:pos="7927"/>
        </w:tabs>
        <w:rPr>
          <w:rFonts w:ascii="Times" w:eastAsiaTheme="minorEastAsia" w:hAnsi="Times"/>
          <w:noProof/>
          <w:sz w:val="24"/>
          <w:szCs w:val="24"/>
          <w:lang w:val="en-US"/>
        </w:rPr>
      </w:pPr>
      <w:hyperlink w:anchor="_Toc141133060" w:history="1">
        <w:r w:rsidR="00140CEB" w:rsidRPr="00140CEB">
          <w:rPr>
            <w:rStyle w:val="Hyperlink"/>
            <w:rFonts w:ascii="Times" w:hAnsi="Times"/>
            <w:noProof/>
            <w:sz w:val="24"/>
            <w:szCs w:val="24"/>
          </w:rPr>
          <w:t>2.2.4. Söylem Analizinin Amacı ve Getirileri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_Toc141133060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38</w:t>
        </w:r>
        <w:r w:rsidR="00140CEB" w:rsidRPr="00140CEB">
          <w:rPr>
            <w:rFonts w:ascii="Times" w:hAnsi="Times"/>
            <w:noProof/>
            <w:webHidden/>
            <w:sz w:val="24"/>
            <w:szCs w:val="24"/>
          </w:rPr>
          <w:fldChar w:fldCharType="end"/>
        </w:r>
      </w:hyperlink>
    </w:p>
    <w:p w14:paraId="7BFE2C8F" w14:textId="770C3C4B" w:rsidR="00140CEB" w:rsidRPr="00140CEB" w:rsidRDefault="002072EB">
      <w:pPr>
        <w:pStyle w:val="TOC3"/>
        <w:tabs>
          <w:tab w:val="right" w:leader="dot" w:pos="7927"/>
        </w:tabs>
        <w:rPr>
          <w:rFonts w:ascii="Times" w:eastAsiaTheme="minorEastAsia" w:hAnsi="Times"/>
          <w:noProof/>
          <w:sz w:val="24"/>
          <w:szCs w:val="24"/>
          <w:lang w:val="en-US"/>
        </w:rPr>
      </w:pPr>
      <w:hyperlink w:anchor="_Toc141133061" w:history="1">
        <w:r w:rsidR="00140CEB" w:rsidRPr="00140CEB">
          <w:rPr>
            <w:rStyle w:val="Hyperlink"/>
            <w:rFonts w:ascii="Times" w:hAnsi="Times"/>
            <w:noProof/>
            <w:sz w:val="24"/>
            <w:szCs w:val="24"/>
          </w:rPr>
          <w:t>2.2.5. Söylem Analizi Yaklaşımları</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_Toc141133061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41</w:t>
        </w:r>
        <w:r w:rsidR="00140CEB" w:rsidRPr="00140CEB">
          <w:rPr>
            <w:rFonts w:ascii="Times" w:hAnsi="Times"/>
            <w:noProof/>
            <w:webHidden/>
            <w:sz w:val="24"/>
            <w:szCs w:val="24"/>
          </w:rPr>
          <w:fldChar w:fldCharType="end"/>
        </w:r>
      </w:hyperlink>
    </w:p>
    <w:p w14:paraId="61006069" w14:textId="0CA804DB" w:rsidR="00140CEB" w:rsidRPr="00140CEB" w:rsidRDefault="002072EB">
      <w:pPr>
        <w:pStyle w:val="TOC4"/>
        <w:tabs>
          <w:tab w:val="right" w:leader="dot" w:pos="7927"/>
        </w:tabs>
        <w:rPr>
          <w:rFonts w:ascii="Times" w:eastAsiaTheme="minorEastAsia" w:hAnsi="Times"/>
          <w:noProof/>
          <w:sz w:val="24"/>
          <w:szCs w:val="24"/>
          <w:lang w:val="en-US"/>
        </w:rPr>
      </w:pPr>
      <w:hyperlink w:anchor="_Toc141133062" w:history="1">
        <w:r w:rsidR="00140CEB" w:rsidRPr="00140CEB">
          <w:rPr>
            <w:rStyle w:val="Hyperlink"/>
            <w:rFonts w:ascii="Times" w:hAnsi="Times"/>
            <w:noProof/>
            <w:sz w:val="24"/>
            <w:szCs w:val="24"/>
          </w:rPr>
          <w:t>2.2.5.1. Söylemsel Psikoloji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_Toc141133062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41</w:t>
        </w:r>
        <w:r w:rsidR="00140CEB" w:rsidRPr="00140CEB">
          <w:rPr>
            <w:rFonts w:ascii="Times" w:hAnsi="Times"/>
            <w:noProof/>
            <w:webHidden/>
            <w:sz w:val="24"/>
            <w:szCs w:val="24"/>
          </w:rPr>
          <w:fldChar w:fldCharType="end"/>
        </w:r>
      </w:hyperlink>
    </w:p>
    <w:p w14:paraId="667F7CBA" w14:textId="22A739F8" w:rsidR="00140CEB" w:rsidRPr="00140CEB" w:rsidRDefault="002072EB">
      <w:pPr>
        <w:pStyle w:val="TOC4"/>
        <w:tabs>
          <w:tab w:val="right" w:leader="dot" w:pos="7927"/>
        </w:tabs>
        <w:rPr>
          <w:rFonts w:ascii="Times" w:eastAsiaTheme="minorEastAsia" w:hAnsi="Times"/>
          <w:noProof/>
          <w:sz w:val="24"/>
          <w:szCs w:val="24"/>
          <w:lang w:val="en-US"/>
        </w:rPr>
      </w:pPr>
      <w:hyperlink w:anchor="_Toc141133063" w:history="1">
        <w:r w:rsidR="00140CEB" w:rsidRPr="00140CEB">
          <w:rPr>
            <w:rStyle w:val="Hyperlink"/>
            <w:rFonts w:ascii="Times" w:hAnsi="Times"/>
            <w:noProof/>
            <w:sz w:val="24"/>
            <w:szCs w:val="24"/>
          </w:rPr>
          <w:t>2.2.5.2. Foucaultcu Söylem Analizi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_Toc141133063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44</w:t>
        </w:r>
        <w:r w:rsidR="00140CEB" w:rsidRPr="00140CEB">
          <w:rPr>
            <w:rFonts w:ascii="Times" w:hAnsi="Times"/>
            <w:noProof/>
            <w:webHidden/>
            <w:sz w:val="24"/>
            <w:szCs w:val="24"/>
          </w:rPr>
          <w:fldChar w:fldCharType="end"/>
        </w:r>
      </w:hyperlink>
    </w:p>
    <w:p w14:paraId="43E0CA94" w14:textId="61085EA0" w:rsidR="00140CEB" w:rsidRPr="00140CEB" w:rsidRDefault="002072EB">
      <w:pPr>
        <w:pStyle w:val="TOC4"/>
        <w:tabs>
          <w:tab w:val="right" w:leader="dot" w:pos="7927"/>
        </w:tabs>
        <w:rPr>
          <w:rFonts w:ascii="Times" w:eastAsiaTheme="minorEastAsia" w:hAnsi="Times"/>
          <w:noProof/>
          <w:sz w:val="24"/>
          <w:szCs w:val="24"/>
          <w:lang w:val="en-US"/>
        </w:rPr>
      </w:pPr>
      <w:hyperlink w:anchor="_Toc141133064" w:history="1">
        <w:r w:rsidR="00140CEB" w:rsidRPr="00140CEB">
          <w:rPr>
            <w:rStyle w:val="Hyperlink"/>
            <w:rFonts w:ascii="Times" w:hAnsi="Times"/>
            <w:noProof/>
            <w:sz w:val="24"/>
            <w:szCs w:val="24"/>
          </w:rPr>
          <w:t>2.2.5.3. Eleştirel Söylem Analizi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_Toc141133064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48</w:t>
        </w:r>
        <w:r w:rsidR="00140CEB" w:rsidRPr="00140CEB">
          <w:rPr>
            <w:rFonts w:ascii="Times" w:hAnsi="Times"/>
            <w:noProof/>
            <w:webHidden/>
            <w:sz w:val="24"/>
            <w:szCs w:val="24"/>
          </w:rPr>
          <w:fldChar w:fldCharType="end"/>
        </w:r>
      </w:hyperlink>
    </w:p>
    <w:p w14:paraId="21C875E5" w14:textId="698B3D52" w:rsidR="00140CEB" w:rsidRPr="00140CEB" w:rsidRDefault="002072EB">
      <w:pPr>
        <w:pStyle w:val="TOC2"/>
        <w:rPr>
          <w:rFonts w:ascii="Times" w:eastAsiaTheme="minorEastAsia" w:hAnsi="Times" w:cstheme="minorBidi"/>
          <w:lang w:val="en-US"/>
        </w:rPr>
      </w:pPr>
      <w:hyperlink w:anchor="_Toc141133065" w:history="1">
        <w:r w:rsidR="00140CEB" w:rsidRPr="00140CEB">
          <w:rPr>
            <w:rStyle w:val="Hyperlink"/>
            <w:rFonts w:ascii="Times" w:hAnsi="Times"/>
          </w:rPr>
          <w:t>2.3. İdeoloji ve Söylem</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_Toc141133065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58</w:t>
        </w:r>
        <w:r w:rsidR="00140CEB" w:rsidRPr="00140CEB">
          <w:rPr>
            <w:rFonts w:ascii="Times" w:hAnsi="Times"/>
            <w:webHidden/>
          </w:rPr>
          <w:fldChar w:fldCharType="end"/>
        </w:r>
      </w:hyperlink>
    </w:p>
    <w:p w14:paraId="225F9BC6" w14:textId="03A3E5A6" w:rsidR="00140CEB" w:rsidRPr="00140CEB" w:rsidRDefault="002072EB">
      <w:pPr>
        <w:pStyle w:val="TOC3"/>
        <w:tabs>
          <w:tab w:val="right" w:leader="dot" w:pos="7927"/>
        </w:tabs>
        <w:rPr>
          <w:rFonts w:ascii="Times" w:eastAsiaTheme="minorEastAsia" w:hAnsi="Times"/>
          <w:noProof/>
          <w:sz w:val="24"/>
          <w:szCs w:val="24"/>
          <w:lang w:val="en-US"/>
        </w:rPr>
      </w:pPr>
      <w:hyperlink w:anchor="_Toc141133066" w:history="1">
        <w:r w:rsidR="00140CEB" w:rsidRPr="00140CEB">
          <w:rPr>
            <w:rStyle w:val="Hyperlink"/>
            <w:rFonts w:ascii="Times" w:hAnsi="Times"/>
            <w:noProof/>
            <w:sz w:val="24"/>
            <w:szCs w:val="24"/>
          </w:rPr>
          <w:t>2.3.1. İdeoloji Kavramı</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_Toc141133066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59</w:t>
        </w:r>
        <w:r w:rsidR="00140CEB" w:rsidRPr="00140CEB">
          <w:rPr>
            <w:rFonts w:ascii="Times" w:hAnsi="Times"/>
            <w:noProof/>
            <w:webHidden/>
            <w:sz w:val="24"/>
            <w:szCs w:val="24"/>
          </w:rPr>
          <w:fldChar w:fldCharType="end"/>
        </w:r>
      </w:hyperlink>
    </w:p>
    <w:p w14:paraId="48E7BCA4" w14:textId="6F2D0F91" w:rsidR="00140CEB" w:rsidRPr="00140CEB" w:rsidRDefault="002072EB">
      <w:pPr>
        <w:pStyle w:val="TOC4"/>
        <w:tabs>
          <w:tab w:val="right" w:leader="dot" w:pos="7927"/>
        </w:tabs>
        <w:rPr>
          <w:rFonts w:ascii="Times" w:eastAsiaTheme="minorEastAsia" w:hAnsi="Times"/>
          <w:noProof/>
          <w:sz w:val="24"/>
          <w:szCs w:val="24"/>
          <w:lang w:val="en-US"/>
        </w:rPr>
      </w:pPr>
      <w:hyperlink w:anchor="_Toc141133067" w:history="1">
        <w:r w:rsidR="00140CEB" w:rsidRPr="00140CEB">
          <w:rPr>
            <w:rStyle w:val="Hyperlink"/>
            <w:rFonts w:ascii="Times" w:hAnsi="Times"/>
            <w:noProof/>
            <w:sz w:val="24"/>
            <w:szCs w:val="24"/>
          </w:rPr>
          <w:t>2.3.1.1. Bağlam içinde ve Kimlik Açısından İdeoloji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_Toc141133067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62</w:t>
        </w:r>
        <w:r w:rsidR="00140CEB" w:rsidRPr="00140CEB">
          <w:rPr>
            <w:rFonts w:ascii="Times" w:hAnsi="Times"/>
            <w:noProof/>
            <w:webHidden/>
            <w:sz w:val="24"/>
            <w:szCs w:val="24"/>
          </w:rPr>
          <w:fldChar w:fldCharType="end"/>
        </w:r>
      </w:hyperlink>
    </w:p>
    <w:p w14:paraId="7D3CC4E1" w14:textId="42A0C2B4" w:rsidR="00140CEB" w:rsidRPr="00140CEB" w:rsidRDefault="002072EB">
      <w:pPr>
        <w:pStyle w:val="TOC4"/>
        <w:tabs>
          <w:tab w:val="right" w:leader="dot" w:pos="7927"/>
        </w:tabs>
        <w:rPr>
          <w:rFonts w:ascii="Times" w:eastAsiaTheme="minorEastAsia" w:hAnsi="Times"/>
          <w:noProof/>
          <w:sz w:val="24"/>
          <w:szCs w:val="24"/>
          <w:lang w:val="en-US"/>
        </w:rPr>
      </w:pPr>
      <w:hyperlink w:anchor="_Toc141133068" w:history="1">
        <w:r w:rsidR="00140CEB" w:rsidRPr="00140CEB">
          <w:rPr>
            <w:rStyle w:val="Hyperlink"/>
            <w:rFonts w:ascii="Times" w:hAnsi="Times"/>
            <w:noProof/>
            <w:sz w:val="24"/>
            <w:szCs w:val="24"/>
          </w:rPr>
          <w:t>2.3.1.2. Değerler Yapılar ve Düşünceler Bağlamında İdeoloji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_Toc141133068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64</w:t>
        </w:r>
        <w:r w:rsidR="00140CEB" w:rsidRPr="00140CEB">
          <w:rPr>
            <w:rFonts w:ascii="Times" w:hAnsi="Times"/>
            <w:noProof/>
            <w:webHidden/>
            <w:sz w:val="24"/>
            <w:szCs w:val="24"/>
          </w:rPr>
          <w:fldChar w:fldCharType="end"/>
        </w:r>
      </w:hyperlink>
    </w:p>
    <w:p w14:paraId="1F59DBC2" w14:textId="6EB602B9" w:rsidR="00140CEB" w:rsidRPr="00140CEB" w:rsidRDefault="002072EB">
      <w:pPr>
        <w:pStyle w:val="TOC4"/>
        <w:tabs>
          <w:tab w:val="right" w:leader="dot" w:pos="7927"/>
        </w:tabs>
        <w:rPr>
          <w:rFonts w:ascii="Times" w:eastAsiaTheme="minorEastAsia" w:hAnsi="Times"/>
          <w:noProof/>
          <w:sz w:val="24"/>
          <w:szCs w:val="24"/>
          <w:lang w:val="en-US"/>
        </w:rPr>
      </w:pPr>
      <w:hyperlink w:anchor="_Toc141133069" w:history="1">
        <w:r w:rsidR="00140CEB" w:rsidRPr="00140CEB">
          <w:rPr>
            <w:rStyle w:val="Hyperlink"/>
            <w:rFonts w:ascii="Times" w:hAnsi="Times"/>
            <w:noProof/>
            <w:sz w:val="24"/>
            <w:szCs w:val="24"/>
          </w:rPr>
          <w:t>2.3.1.3. Toplum ve Toplumsal İlişkilerin Yeniden Üretimi Bağlamında İdeoloji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_Toc141133069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65</w:t>
        </w:r>
        <w:r w:rsidR="00140CEB" w:rsidRPr="00140CEB">
          <w:rPr>
            <w:rFonts w:ascii="Times" w:hAnsi="Times"/>
            <w:noProof/>
            <w:webHidden/>
            <w:sz w:val="24"/>
            <w:szCs w:val="24"/>
          </w:rPr>
          <w:fldChar w:fldCharType="end"/>
        </w:r>
      </w:hyperlink>
    </w:p>
    <w:p w14:paraId="55506A3B" w14:textId="0E136BA8" w:rsidR="00140CEB" w:rsidRPr="00140CEB" w:rsidRDefault="002072EB">
      <w:pPr>
        <w:pStyle w:val="TOC4"/>
        <w:tabs>
          <w:tab w:val="right" w:leader="dot" w:pos="7927"/>
        </w:tabs>
        <w:rPr>
          <w:rFonts w:ascii="Times" w:eastAsiaTheme="minorEastAsia" w:hAnsi="Times"/>
          <w:noProof/>
          <w:sz w:val="24"/>
          <w:szCs w:val="24"/>
          <w:lang w:val="en-US"/>
        </w:rPr>
      </w:pPr>
      <w:hyperlink w:anchor="_Toc141133070" w:history="1">
        <w:r w:rsidR="00140CEB" w:rsidRPr="00140CEB">
          <w:rPr>
            <w:rStyle w:val="Hyperlink"/>
            <w:rFonts w:ascii="Times" w:hAnsi="Times"/>
            <w:noProof/>
            <w:sz w:val="24"/>
            <w:szCs w:val="24"/>
          </w:rPr>
          <w:t>2.3.1.4. İdeolojik Söylem Yapıları</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_Toc141133070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67</w:t>
        </w:r>
        <w:r w:rsidR="00140CEB" w:rsidRPr="00140CEB">
          <w:rPr>
            <w:rFonts w:ascii="Times" w:hAnsi="Times"/>
            <w:noProof/>
            <w:webHidden/>
            <w:sz w:val="24"/>
            <w:szCs w:val="24"/>
          </w:rPr>
          <w:fldChar w:fldCharType="end"/>
        </w:r>
      </w:hyperlink>
    </w:p>
    <w:p w14:paraId="09084196" w14:textId="0C3C55FB" w:rsidR="00140CEB" w:rsidRPr="00140CEB" w:rsidRDefault="002072EB">
      <w:pPr>
        <w:pStyle w:val="TOC4"/>
        <w:tabs>
          <w:tab w:val="right" w:leader="dot" w:pos="7927"/>
        </w:tabs>
        <w:rPr>
          <w:rFonts w:ascii="Times" w:eastAsiaTheme="minorEastAsia" w:hAnsi="Times"/>
          <w:noProof/>
          <w:sz w:val="24"/>
          <w:szCs w:val="24"/>
          <w:lang w:val="en-US"/>
        </w:rPr>
      </w:pPr>
      <w:hyperlink w:anchor="_Toc141133071" w:history="1">
        <w:r w:rsidR="00140CEB" w:rsidRPr="00140CEB">
          <w:rPr>
            <w:rStyle w:val="Hyperlink"/>
            <w:rFonts w:ascii="Times" w:hAnsi="Times"/>
            <w:noProof/>
            <w:sz w:val="24"/>
            <w:szCs w:val="24"/>
          </w:rPr>
          <w:t>2.3.1.5. İdeolojik Söylem Çözümleme Kategorileri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_Toc141133071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73</w:t>
        </w:r>
        <w:r w:rsidR="00140CEB" w:rsidRPr="00140CEB">
          <w:rPr>
            <w:rFonts w:ascii="Times" w:hAnsi="Times"/>
            <w:noProof/>
            <w:webHidden/>
            <w:sz w:val="24"/>
            <w:szCs w:val="24"/>
          </w:rPr>
          <w:fldChar w:fldCharType="end"/>
        </w:r>
      </w:hyperlink>
    </w:p>
    <w:p w14:paraId="1CC8DD67" w14:textId="3FAE6CAD" w:rsidR="00140CEB" w:rsidRPr="00140CEB" w:rsidRDefault="002072EB">
      <w:pPr>
        <w:pStyle w:val="TOC4"/>
        <w:tabs>
          <w:tab w:val="right" w:leader="dot" w:pos="7927"/>
        </w:tabs>
        <w:rPr>
          <w:rFonts w:ascii="Times" w:eastAsiaTheme="minorEastAsia" w:hAnsi="Times"/>
          <w:noProof/>
          <w:sz w:val="24"/>
          <w:szCs w:val="24"/>
          <w:lang w:val="en-US"/>
        </w:rPr>
      </w:pPr>
      <w:hyperlink w:anchor="_Toc141133072" w:history="1">
        <w:r w:rsidR="00140CEB" w:rsidRPr="00140CEB">
          <w:rPr>
            <w:rStyle w:val="Hyperlink"/>
            <w:rFonts w:ascii="Times" w:hAnsi="Times"/>
            <w:noProof/>
            <w:sz w:val="24"/>
            <w:szCs w:val="24"/>
          </w:rPr>
          <w:t>2.3.1.6. Postmodernizm ve İdeoloji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_Toc141133072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73</w:t>
        </w:r>
        <w:r w:rsidR="00140CEB" w:rsidRPr="00140CEB">
          <w:rPr>
            <w:rFonts w:ascii="Times" w:hAnsi="Times"/>
            <w:noProof/>
            <w:webHidden/>
            <w:sz w:val="24"/>
            <w:szCs w:val="24"/>
          </w:rPr>
          <w:fldChar w:fldCharType="end"/>
        </w:r>
      </w:hyperlink>
    </w:p>
    <w:p w14:paraId="60E27DF3" w14:textId="68AF28C9" w:rsidR="00140CEB" w:rsidRPr="00140CEB" w:rsidRDefault="002072EB">
      <w:pPr>
        <w:pStyle w:val="TOC2"/>
        <w:rPr>
          <w:rFonts w:ascii="Times" w:eastAsiaTheme="minorEastAsia" w:hAnsi="Times" w:cstheme="minorBidi"/>
          <w:lang w:val="en-US"/>
        </w:rPr>
      </w:pPr>
      <w:hyperlink w:anchor="_Toc141133073" w:history="1">
        <w:r w:rsidR="00140CEB" w:rsidRPr="00140CEB">
          <w:rPr>
            <w:rStyle w:val="Hyperlink"/>
            <w:rFonts w:ascii="Times" w:hAnsi="Times"/>
          </w:rPr>
          <w:t>2.4. Ötekinin İnşası</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_Toc141133073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76</w:t>
        </w:r>
        <w:r w:rsidR="00140CEB" w:rsidRPr="00140CEB">
          <w:rPr>
            <w:rFonts w:ascii="Times" w:hAnsi="Times"/>
            <w:webHidden/>
          </w:rPr>
          <w:fldChar w:fldCharType="end"/>
        </w:r>
      </w:hyperlink>
    </w:p>
    <w:p w14:paraId="6C06C2B1" w14:textId="08EF6201" w:rsidR="00140CEB" w:rsidRPr="00140CEB" w:rsidRDefault="002072EB">
      <w:pPr>
        <w:pStyle w:val="TOC3"/>
        <w:tabs>
          <w:tab w:val="right" w:leader="dot" w:pos="7927"/>
        </w:tabs>
        <w:rPr>
          <w:rFonts w:ascii="Times" w:eastAsiaTheme="minorEastAsia" w:hAnsi="Times"/>
          <w:noProof/>
          <w:sz w:val="24"/>
          <w:szCs w:val="24"/>
          <w:lang w:val="en-US"/>
        </w:rPr>
      </w:pPr>
      <w:hyperlink w:anchor="_Toc141133074" w:history="1">
        <w:r w:rsidR="00140CEB" w:rsidRPr="00140CEB">
          <w:rPr>
            <w:rStyle w:val="Hyperlink"/>
            <w:rFonts w:ascii="Times" w:hAnsi="Times"/>
            <w:noProof/>
            <w:sz w:val="24"/>
            <w:szCs w:val="24"/>
          </w:rPr>
          <w:t>2.4.1. Sosyal Kimlik ve Ötekinin İnşası</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_Toc141133074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76</w:t>
        </w:r>
        <w:r w:rsidR="00140CEB" w:rsidRPr="00140CEB">
          <w:rPr>
            <w:rFonts w:ascii="Times" w:hAnsi="Times"/>
            <w:noProof/>
            <w:webHidden/>
            <w:sz w:val="24"/>
            <w:szCs w:val="24"/>
          </w:rPr>
          <w:fldChar w:fldCharType="end"/>
        </w:r>
      </w:hyperlink>
    </w:p>
    <w:p w14:paraId="5A680453" w14:textId="62942C84" w:rsidR="00140CEB" w:rsidRPr="00140CEB" w:rsidRDefault="002072EB">
      <w:pPr>
        <w:pStyle w:val="TOC3"/>
        <w:tabs>
          <w:tab w:val="right" w:leader="dot" w:pos="7927"/>
        </w:tabs>
        <w:rPr>
          <w:rFonts w:ascii="Times" w:eastAsiaTheme="minorEastAsia" w:hAnsi="Times"/>
          <w:noProof/>
          <w:sz w:val="24"/>
          <w:szCs w:val="24"/>
          <w:lang w:val="en-US"/>
        </w:rPr>
      </w:pPr>
      <w:hyperlink w:anchor="_Toc141133075" w:history="1">
        <w:r w:rsidR="00140CEB" w:rsidRPr="00140CEB">
          <w:rPr>
            <w:rStyle w:val="Hyperlink"/>
            <w:rFonts w:ascii="Times" w:hAnsi="Times"/>
            <w:noProof/>
            <w:sz w:val="24"/>
            <w:szCs w:val="24"/>
          </w:rPr>
          <w:t>2.4.2. Postmodernizm</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_Toc141133075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82</w:t>
        </w:r>
        <w:r w:rsidR="00140CEB" w:rsidRPr="00140CEB">
          <w:rPr>
            <w:rFonts w:ascii="Times" w:hAnsi="Times"/>
            <w:noProof/>
            <w:webHidden/>
            <w:sz w:val="24"/>
            <w:szCs w:val="24"/>
          </w:rPr>
          <w:fldChar w:fldCharType="end"/>
        </w:r>
      </w:hyperlink>
    </w:p>
    <w:p w14:paraId="637AC016" w14:textId="2F151F5C" w:rsidR="00140CEB" w:rsidRPr="00140CEB" w:rsidRDefault="002072EB">
      <w:pPr>
        <w:pStyle w:val="TOC3"/>
        <w:tabs>
          <w:tab w:val="right" w:leader="dot" w:pos="7927"/>
        </w:tabs>
        <w:rPr>
          <w:rFonts w:ascii="Times" w:eastAsiaTheme="minorEastAsia" w:hAnsi="Times"/>
          <w:noProof/>
          <w:sz w:val="24"/>
          <w:szCs w:val="24"/>
          <w:lang w:val="en-US"/>
        </w:rPr>
      </w:pPr>
      <w:hyperlink w:anchor="_Toc141133076" w:history="1">
        <w:r w:rsidR="00140CEB" w:rsidRPr="00140CEB">
          <w:rPr>
            <w:rStyle w:val="Hyperlink"/>
            <w:rFonts w:ascii="Times" w:hAnsi="Times"/>
            <w:noProof/>
            <w:sz w:val="24"/>
            <w:szCs w:val="24"/>
          </w:rPr>
          <w:t>2.4.3. Postmodern Söylem Yaklaşımı</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_Toc141133076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83</w:t>
        </w:r>
        <w:r w:rsidR="00140CEB" w:rsidRPr="00140CEB">
          <w:rPr>
            <w:rFonts w:ascii="Times" w:hAnsi="Times"/>
            <w:noProof/>
            <w:webHidden/>
            <w:sz w:val="24"/>
            <w:szCs w:val="24"/>
          </w:rPr>
          <w:fldChar w:fldCharType="end"/>
        </w:r>
      </w:hyperlink>
    </w:p>
    <w:p w14:paraId="77280752" w14:textId="21FE5ECB" w:rsidR="00140CEB" w:rsidRPr="00140CEB" w:rsidRDefault="002072EB">
      <w:pPr>
        <w:pStyle w:val="TOC3"/>
        <w:tabs>
          <w:tab w:val="right" w:leader="dot" w:pos="7927"/>
        </w:tabs>
        <w:rPr>
          <w:rFonts w:ascii="Times" w:eastAsiaTheme="minorEastAsia" w:hAnsi="Times"/>
          <w:noProof/>
          <w:sz w:val="24"/>
          <w:szCs w:val="24"/>
          <w:lang w:val="en-US"/>
        </w:rPr>
      </w:pPr>
      <w:hyperlink w:anchor="_Toc141133077" w:history="1">
        <w:r w:rsidR="00140CEB" w:rsidRPr="00140CEB">
          <w:rPr>
            <w:rStyle w:val="Hyperlink"/>
            <w:rFonts w:ascii="Times" w:eastAsia="Calibri" w:hAnsi="Times"/>
            <w:noProof/>
            <w:sz w:val="24"/>
            <w:szCs w:val="24"/>
          </w:rPr>
          <w:t>2.4.4. Hakikatin Önemsizleşmesi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_Toc141133077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88</w:t>
        </w:r>
        <w:r w:rsidR="00140CEB" w:rsidRPr="00140CEB">
          <w:rPr>
            <w:rFonts w:ascii="Times" w:hAnsi="Times"/>
            <w:noProof/>
            <w:webHidden/>
            <w:sz w:val="24"/>
            <w:szCs w:val="24"/>
          </w:rPr>
          <w:fldChar w:fldCharType="end"/>
        </w:r>
      </w:hyperlink>
    </w:p>
    <w:p w14:paraId="55ADD43E" w14:textId="5E587824" w:rsidR="00140CEB" w:rsidRPr="00140CEB" w:rsidRDefault="002072EB">
      <w:pPr>
        <w:pStyle w:val="TOC1"/>
        <w:rPr>
          <w:rFonts w:ascii="Times" w:eastAsiaTheme="minorEastAsia" w:hAnsi="Times" w:cstheme="minorBidi"/>
          <w:b w:val="0"/>
          <w:bCs w:val="0"/>
          <w:lang w:val="en-US"/>
        </w:rPr>
      </w:pPr>
      <w:hyperlink w:anchor="_Toc141133078" w:history="1">
        <w:r w:rsidR="00140CEB" w:rsidRPr="00140CEB">
          <w:rPr>
            <w:rStyle w:val="Hyperlink"/>
            <w:rFonts w:ascii="Times" w:hAnsi="Times"/>
          </w:rPr>
          <w:t>BÖLÜM 3</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_Toc141133078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93</w:t>
        </w:r>
        <w:r w:rsidR="00140CEB" w:rsidRPr="00140CEB">
          <w:rPr>
            <w:rFonts w:ascii="Times" w:hAnsi="Times"/>
            <w:webHidden/>
          </w:rPr>
          <w:fldChar w:fldCharType="end"/>
        </w:r>
      </w:hyperlink>
    </w:p>
    <w:p w14:paraId="08B42751" w14:textId="1087B7B7" w:rsidR="00140CEB" w:rsidRPr="00140CEB" w:rsidRDefault="002072EB">
      <w:pPr>
        <w:pStyle w:val="TOC1"/>
        <w:rPr>
          <w:rFonts w:ascii="Times" w:eastAsiaTheme="minorEastAsia" w:hAnsi="Times" w:cstheme="minorBidi"/>
          <w:b w:val="0"/>
          <w:bCs w:val="0"/>
          <w:lang w:val="en-US"/>
        </w:rPr>
      </w:pPr>
      <w:hyperlink w:anchor="_Toc141133079" w:history="1">
        <w:r w:rsidR="00140CEB" w:rsidRPr="00140CEB">
          <w:rPr>
            <w:rStyle w:val="Hyperlink"/>
            <w:rFonts w:ascii="Times" w:eastAsia="Times New Roman" w:hAnsi="Times"/>
          </w:rPr>
          <w:t>TÜRKİYE’DE VE FRANSA’DA SİYASAL SÖYLEMDEKİ ÖTEKİ</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_Toc141133079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93</w:t>
        </w:r>
        <w:r w:rsidR="00140CEB" w:rsidRPr="00140CEB">
          <w:rPr>
            <w:rFonts w:ascii="Times" w:hAnsi="Times"/>
            <w:webHidden/>
          </w:rPr>
          <w:fldChar w:fldCharType="end"/>
        </w:r>
      </w:hyperlink>
    </w:p>
    <w:p w14:paraId="02550B46" w14:textId="723B422A" w:rsidR="00140CEB" w:rsidRPr="00140CEB" w:rsidRDefault="002072EB">
      <w:pPr>
        <w:pStyle w:val="TOC2"/>
        <w:rPr>
          <w:rFonts w:ascii="Times" w:eastAsiaTheme="minorEastAsia" w:hAnsi="Times" w:cstheme="minorBidi"/>
          <w:lang w:val="en-US"/>
        </w:rPr>
      </w:pPr>
      <w:hyperlink w:anchor="_Toc141133080" w:history="1">
        <w:r w:rsidR="00140CEB" w:rsidRPr="00140CEB">
          <w:rPr>
            <w:rStyle w:val="Hyperlink"/>
            <w:rFonts w:ascii="Times" w:hAnsi="Times"/>
          </w:rPr>
          <w:t>3.1. Türkiye ve Fransa’daki Yaygın İdeolojik Yönelimler ve Kimlikler</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_Toc141133080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93</w:t>
        </w:r>
        <w:r w:rsidR="00140CEB" w:rsidRPr="00140CEB">
          <w:rPr>
            <w:rFonts w:ascii="Times" w:hAnsi="Times"/>
            <w:webHidden/>
          </w:rPr>
          <w:fldChar w:fldCharType="end"/>
        </w:r>
      </w:hyperlink>
    </w:p>
    <w:p w14:paraId="139E1C6D" w14:textId="79ED7929" w:rsidR="00140CEB" w:rsidRPr="00140CEB" w:rsidRDefault="002072EB">
      <w:pPr>
        <w:pStyle w:val="TOC3"/>
        <w:tabs>
          <w:tab w:val="right" w:leader="dot" w:pos="7927"/>
        </w:tabs>
        <w:rPr>
          <w:rFonts w:ascii="Times" w:eastAsiaTheme="minorEastAsia" w:hAnsi="Times"/>
          <w:noProof/>
          <w:sz w:val="24"/>
          <w:szCs w:val="24"/>
          <w:lang w:val="en-US"/>
        </w:rPr>
      </w:pPr>
      <w:hyperlink w:anchor="_Toc141133081" w:history="1">
        <w:r w:rsidR="00140CEB" w:rsidRPr="00140CEB">
          <w:rPr>
            <w:rStyle w:val="Hyperlink"/>
            <w:rFonts w:ascii="Times" w:hAnsi="Times"/>
            <w:noProof/>
            <w:sz w:val="24"/>
            <w:szCs w:val="24"/>
          </w:rPr>
          <w:t>3.1.1. Siyasal Bir Kimlik Olarak Siyasal Partiler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_Toc141133081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94</w:t>
        </w:r>
        <w:r w:rsidR="00140CEB" w:rsidRPr="00140CEB">
          <w:rPr>
            <w:rFonts w:ascii="Times" w:hAnsi="Times"/>
            <w:noProof/>
            <w:webHidden/>
            <w:sz w:val="24"/>
            <w:szCs w:val="24"/>
          </w:rPr>
          <w:fldChar w:fldCharType="end"/>
        </w:r>
      </w:hyperlink>
    </w:p>
    <w:p w14:paraId="33B54A95" w14:textId="29636D51" w:rsidR="00140CEB" w:rsidRPr="00140CEB" w:rsidRDefault="002072EB">
      <w:pPr>
        <w:pStyle w:val="TOC3"/>
        <w:tabs>
          <w:tab w:val="right" w:leader="dot" w:pos="7927"/>
        </w:tabs>
        <w:rPr>
          <w:rFonts w:ascii="Times" w:eastAsiaTheme="minorEastAsia" w:hAnsi="Times"/>
          <w:noProof/>
          <w:sz w:val="24"/>
          <w:szCs w:val="24"/>
          <w:lang w:val="en-US"/>
        </w:rPr>
      </w:pPr>
      <w:hyperlink w:anchor="_Toc141133082" w:history="1">
        <w:r w:rsidR="00140CEB" w:rsidRPr="00140CEB">
          <w:rPr>
            <w:rStyle w:val="Hyperlink"/>
            <w:rFonts w:ascii="Times" w:hAnsi="Times"/>
            <w:noProof/>
            <w:sz w:val="24"/>
            <w:szCs w:val="24"/>
          </w:rPr>
          <w:t>3.1.2. Siyasal Partilerin Siyasal Söylem Üretiminde ve Toplumsal Bütünleşme/Ayrışmadaki Rolleri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_Toc141133082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94</w:t>
        </w:r>
        <w:r w:rsidR="00140CEB" w:rsidRPr="00140CEB">
          <w:rPr>
            <w:rFonts w:ascii="Times" w:hAnsi="Times"/>
            <w:noProof/>
            <w:webHidden/>
            <w:sz w:val="24"/>
            <w:szCs w:val="24"/>
          </w:rPr>
          <w:fldChar w:fldCharType="end"/>
        </w:r>
      </w:hyperlink>
    </w:p>
    <w:p w14:paraId="4CFAFD76" w14:textId="50335CE9" w:rsidR="00140CEB" w:rsidRPr="00140CEB" w:rsidRDefault="002072EB">
      <w:pPr>
        <w:pStyle w:val="TOC2"/>
        <w:rPr>
          <w:rFonts w:ascii="Times" w:eastAsiaTheme="minorEastAsia" w:hAnsi="Times" w:cstheme="minorBidi"/>
          <w:lang w:val="en-US"/>
        </w:rPr>
      </w:pPr>
      <w:hyperlink w:anchor="_Toc141133083" w:history="1">
        <w:r w:rsidR="00140CEB" w:rsidRPr="00140CEB">
          <w:rPr>
            <w:rStyle w:val="Hyperlink"/>
            <w:rFonts w:ascii="Times" w:hAnsi="Times"/>
          </w:rPr>
          <w:t>3.2. Türkiye ve Fransa: İktidar Söylemlerinin Ana Konuları</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_Toc141133083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95</w:t>
        </w:r>
        <w:r w:rsidR="00140CEB" w:rsidRPr="00140CEB">
          <w:rPr>
            <w:rFonts w:ascii="Times" w:hAnsi="Times"/>
            <w:webHidden/>
          </w:rPr>
          <w:fldChar w:fldCharType="end"/>
        </w:r>
      </w:hyperlink>
    </w:p>
    <w:p w14:paraId="53DA6EB5" w14:textId="11518879" w:rsidR="00140CEB" w:rsidRPr="00140CEB" w:rsidRDefault="002072EB">
      <w:pPr>
        <w:pStyle w:val="TOC2"/>
        <w:rPr>
          <w:rFonts w:ascii="Times" w:eastAsiaTheme="minorEastAsia" w:hAnsi="Times" w:cstheme="minorBidi"/>
          <w:lang w:val="en-US"/>
        </w:rPr>
      </w:pPr>
      <w:hyperlink w:anchor="_Toc141133084" w:history="1">
        <w:r w:rsidR="00140CEB" w:rsidRPr="00140CEB">
          <w:rPr>
            <w:rStyle w:val="Hyperlink"/>
            <w:rFonts w:ascii="Times" w:hAnsi="Times"/>
          </w:rPr>
          <w:t>3.3. Fransa’nın Siyasi Sistemin Tarihi, Yapısı ve Özellikleri</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_Toc141133084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104</w:t>
        </w:r>
        <w:r w:rsidR="00140CEB" w:rsidRPr="00140CEB">
          <w:rPr>
            <w:rFonts w:ascii="Times" w:hAnsi="Times"/>
            <w:webHidden/>
          </w:rPr>
          <w:fldChar w:fldCharType="end"/>
        </w:r>
      </w:hyperlink>
    </w:p>
    <w:p w14:paraId="7DD60398" w14:textId="15487650" w:rsidR="00140CEB" w:rsidRPr="00140CEB" w:rsidRDefault="002072EB">
      <w:pPr>
        <w:pStyle w:val="TOC3"/>
        <w:tabs>
          <w:tab w:val="right" w:leader="dot" w:pos="7927"/>
        </w:tabs>
        <w:rPr>
          <w:rFonts w:ascii="Times" w:eastAsiaTheme="minorEastAsia" w:hAnsi="Times"/>
          <w:noProof/>
          <w:sz w:val="24"/>
          <w:szCs w:val="24"/>
          <w:lang w:val="en-US"/>
        </w:rPr>
      </w:pPr>
      <w:hyperlink w:anchor="_Toc141133085" w:history="1">
        <w:r w:rsidR="00140CEB" w:rsidRPr="00140CEB">
          <w:rPr>
            <w:rStyle w:val="Hyperlink"/>
            <w:rFonts w:ascii="Times" w:hAnsi="Times"/>
            <w:noProof/>
            <w:sz w:val="24"/>
            <w:szCs w:val="24"/>
          </w:rPr>
          <w:t>3.3.1. V. Cumhuriyet Öncesi Siyasi Koşullar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_Toc141133085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104</w:t>
        </w:r>
        <w:r w:rsidR="00140CEB" w:rsidRPr="00140CEB">
          <w:rPr>
            <w:rFonts w:ascii="Times" w:hAnsi="Times"/>
            <w:noProof/>
            <w:webHidden/>
            <w:sz w:val="24"/>
            <w:szCs w:val="24"/>
          </w:rPr>
          <w:fldChar w:fldCharType="end"/>
        </w:r>
      </w:hyperlink>
    </w:p>
    <w:p w14:paraId="1654E95D" w14:textId="0C0A3E77" w:rsidR="00140CEB" w:rsidRPr="00140CEB" w:rsidRDefault="002072EB">
      <w:pPr>
        <w:pStyle w:val="TOC3"/>
        <w:tabs>
          <w:tab w:val="right" w:leader="dot" w:pos="7927"/>
        </w:tabs>
        <w:rPr>
          <w:rFonts w:ascii="Times" w:eastAsiaTheme="minorEastAsia" w:hAnsi="Times"/>
          <w:noProof/>
          <w:sz w:val="24"/>
          <w:szCs w:val="24"/>
          <w:lang w:val="en-US"/>
        </w:rPr>
      </w:pPr>
      <w:hyperlink w:anchor="_Toc141133086" w:history="1">
        <w:r w:rsidR="00140CEB" w:rsidRPr="00140CEB">
          <w:rPr>
            <w:rStyle w:val="Hyperlink"/>
            <w:rFonts w:ascii="Times" w:hAnsi="Times"/>
            <w:noProof/>
            <w:sz w:val="24"/>
            <w:szCs w:val="24"/>
          </w:rPr>
          <w:t>3.3.2. V. Cumhuriyet Anayasasının Siyasi Rejimi</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_Toc141133086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105</w:t>
        </w:r>
        <w:r w:rsidR="00140CEB" w:rsidRPr="00140CEB">
          <w:rPr>
            <w:rFonts w:ascii="Times" w:hAnsi="Times"/>
            <w:noProof/>
            <w:webHidden/>
            <w:sz w:val="24"/>
            <w:szCs w:val="24"/>
          </w:rPr>
          <w:fldChar w:fldCharType="end"/>
        </w:r>
      </w:hyperlink>
    </w:p>
    <w:p w14:paraId="52895419" w14:textId="5968171C" w:rsidR="00140CEB" w:rsidRPr="00140CEB" w:rsidRDefault="002072EB">
      <w:pPr>
        <w:pStyle w:val="TOC3"/>
        <w:tabs>
          <w:tab w:val="right" w:leader="dot" w:pos="7927"/>
        </w:tabs>
        <w:rPr>
          <w:rFonts w:ascii="Times" w:eastAsiaTheme="minorEastAsia" w:hAnsi="Times"/>
          <w:noProof/>
          <w:sz w:val="24"/>
          <w:szCs w:val="24"/>
          <w:lang w:val="en-US"/>
        </w:rPr>
      </w:pPr>
      <w:hyperlink w:anchor="_Toc141133087" w:history="1">
        <w:r w:rsidR="00140CEB" w:rsidRPr="00140CEB">
          <w:rPr>
            <w:rStyle w:val="Hyperlink"/>
            <w:rFonts w:ascii="Times" w:hAnsi="Times"/>
            <w:noProof/>
            <w:sz w:val="24"/>
            <w:szCs w:val="24"/>
          </w:rPr>
          <w:t>3.3.3. V. Cumhuriyet’in Kuruluşu</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_Toc141133087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107</w:t>
        </w:r>
        <w:r w:rsidR="00140CEB" w:rsidRPr="00140CEB">
          <w:rPr>
            <w:rFonts w:ascii="Times" w:hAnsi="Times"/>
            <w:noProof/>
            <w:webHidden/>
            <w:sz w:val="24"/>
            <w:szCs w:val="24"/>
          </w:rPr>
          <w:fldChar w:fldCharType="end"/>
        </w:r>
      </w:hyperlink>
    </w:p>
    <w:p w14:paraId="796C2F93" w14:textId="708B69E5" w:rsidR="00140CEB" w:rsidRPr="00140CEB" w:rsidRDefault="002072EB">
      <w:pPr>
        <w:pStyle w:val="TOC3"/>
        <w:tabs>
          <w:tab w:val="right" w:leader="dot" w:pos="7927"/>
        </w:tabs>
        <w:rPr>
          <w:rFonts w:ascii="Times" w:eastAsiaTheme="minorEastAsia" w:hAnsi="Times"/>
          <w:noProof/>
          <w:sz w:val="24"/>
          <w:szCs w:val="24"/>
          <w:lang w:val="en-US"/>
        </w:rPr>
      </w:pPr>
      <w:hyperlink w:anchor="_Toc141133088" w:history="1">
        <w:r w:rsidR="00140CEB" w:rsidRPr="00140CEB">
          <w:rPr>
            <w:rStyle w:val="Hyperlink"/>
            <w:rFonts w:ascii="Times" w:hAnsi="Times"/>
            <w:noProof/>
            <w:sz w:val="24"/>
            <w:szCs w:val="24"/>
          </w:rPr>
          <w:t>3.3.4. De Gaulle’den Günümüze Siyasal Yaşam, Partiler ve Liderler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_Toc141133088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110</w:t>
        </w:r>
        <w:r w:rsidR="00140CEB" w:rsidRPr="00140CEB">
          <w:rPr>
            <w:rFonts w:ascii="Times" w:hAnsi="Times"/>
            <w:noProof/>
            <w:webHidden/>
            <w:sz w:val="24"/>
            <w:szCs w:val="24"/>
          </w:rPr>
          <w:fldChar w:fldCharType="end"/>
        </w:r>
      </w:hyperlink>
    </w:p>
    <w:p w14:paraId="466A1B34" w14:textId="5E7F755C" w:rsidR="00140CEB" w:rsidRPr="00140CEB" w:rsidRDefault="002072EB">
      <w:pPr>
        <w:pStyle w:val="TOC2"/>
        <w:rPr>
          <w:rFonts w:ascii="Times" w:eastAsiaTheme="minorEastAsia" w:hAnsi="Times" w:cstheme="minorBidi"/>
          <w:lang w:val="en-US"/>
        </w:rPr>
      </w:pPr>
      <w:hyperlink w:anchor="_Toc141133089" w:history="1">
        <w:r w:rsidR="00140CEB" w:rsidRPr="00140CEB">
          <w:rPr>
            <w:rStyle w:val="Hyperlink"/>
            <w:rFonts w:ascii="Times" w:hAnsi="Times"/>
          </w:rPr>
          <w:t>3.4. Türkiye’nin Siyasi Sistemin Tarihi, Yapısı ve Özellikleri</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_Toc141133089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117</w:t>
        </w:r>
        <w:r w:rsidR="00140CEB" w:rsidRPr="00140CEB">
          <w:rPr>
            <w:rFonts w:ascii="Times" w:hAnsi="Times"/>
            <w:webHidden/>
          </w:rPr>
          <w:fldChar w:fldCharType="end"/>
        </w:r>
      </w:hyperlink>
    </w:p>
    <w:p w14:paraId="6FA27D05" w14:textId="4AEA2B03" w:rsidR="00140CEB" w:rsidRPr="00140CEB" w:rsidRDefault="002072EB">
      <w:pPr>
        <w:pStyle w:val="TOC3"/>
        <w:tabs>
          <w:tab w:val="right" w:leader="dot" w:pos="7927"/>
        </w:tabs>
        <w:rPr>
          <w:rFonts w:ascii="Times" w:eastAsiaTheme="minorEastAsia" w:hAnsi="Times"/>
          <w:noProof/>
          <w:sz w:val="24"/>
          <w:szCs w:val="24"/>
          <w:lang w:val="en-US"/>
        </w:rPr>
      </w:pPr>
      <w:hyperlink w:anchor="_Toc141133090" w:history="1">
        <w:r w:rsidR="00140CEB" w:rsidRPr="00140CEB">
          <w:rPr>
            <w:rStyle w:val="Hyperlink"/>
            <w:rFonts w:ascii="Times" w:hAnsi="Times"/>
            <w:noProof/>
            <w:sz w:val="24"/>
            <w:szCs w:val="24"/>
          </w:rPr>
          <w:t>3.4.1. Dünya Savaşı Öncesi Süreç</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_Toc141133090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117</w:t>
        </w:r>
        <w:r w:rsidR="00140CEB" w:rsidRPr="00140CEB">
          <w:rPr>
            <w:rFonts w:ascii="Times" w:hAnsi="Times"/>
            <w:noProof/>
            <w:webHidden/>
            <w:sz w:val="24"/>
            <w:szCs w:val="24"/>
          </w:rPr>
          <w:fldChar w:fldCharType="end"/>
        </w:r>
      </w:hyperlink>
    </w:p>
    <w:p w14:paraId="47A30E92" w14:textId="2436363F" w:rsidR="00140CEB" w:rsidRPr="00140CEB" w:rsidRDefault="002072EB">
      <w:pPr>
        <w:pStyle w:val="TOC3"/>
        <w:tabs>
          <w:tab w:val="right" w:leader="dot" w:pos="7927"/>
        </w:tabs>
        <w:rPr>
          <w:rFonts w:ascii="Times" w:eastAsiaTheme="minorEastAsia" w:hAnsi="Times"/>
          <w:noProof/>
          <w:sz w:val="24"/>
          <w:szCs w:val="24"/>
          <w:lang w:val="en-US"/>
        </w:rPr>
      </w:pPr>
      <w:hyperlink w:anchor="_Toc141133091" w:history="1">
        <w:r w:rsidR="00140CEB" w:rsidRPr="00140CEB">
          <w:rPr>
            <w:rStyle w:val="Hyperlink"/>
            <w:rFonts w:ascii="Times" w:hAnsi="Times"/>
            <w:noProof/>
            <w:sz w:val="24"/>
            <w:szCs w:val="24"/>
          </w:rPr>
          <w:t>3.4.2. Cumhuriyetin Kuruluşu</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_Toc141133091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118</w:t>
        </w:r>
        <w:r w:rsidR="00140CEB" w:rsidRPr="00140CEB">
          <w:rPr>
            <w:rFonts w:ascii="Times" w:hAnsi="Times"/>
            <w:noProof/>
            <w:webHidden/>
            <w:sz w:val="24"/>
            <w:szCs w:val="24"/>
          </w:rPr>
          <w:fldChar w:fldCharType="end"/>
        </w:r>
      </w:hyperlink>
    </w:p>
    <w:p w14:paraId="5572C44A" w14:textId="76163F5B" w:rsidR="00140CEB" w:rsidRPr="00140CEB" w:rsidRDefault="002072EB">
      <w:pPr>
        <w:pStyle w:val="TOC3"/>
        <w:tabs>
          <w:tab w:val="right" w:leader="dot" w:pos="7927"/>
        </w:tabs>
        <w:rPr>
          <w:rFonts w:ascii="Times" w:eastAsiaTheme="minorEastAsia" w:hAnsi="Times"/>
          <w:noProof/>
          <w:sz w:val="24"/>
          <w:szCs w:val="24"/>
          <w:lang w:val="en-US"/>
        </w:rPr>
      </w:pPr>
      <w:hyperlink w:anchor="_Toc141133092" w:history="1">
        <w:r w:rsidR="00140CEB" w:rsidRPr="00140CEB">
          <w:rPr>
            <w:rStyle w:val="Hyperlink"/>
            <w:rFonts w:ascii="Times" w:hAnsi="Times"/>
            <w:noProof/>
            <w:sz w:val="24"/>
            <w:szCs w:val="24"/>
          </w:rPr>
          <w:t>3.4.3. Çok Partili Dönem</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_Toc141133092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119</w:t>
        </w:r>
        <w:r w:rsidR="00140CEB" w:rsidRPr="00140CEB">
          <w:rPr>
            <w:rFonts w:ascii="Times" w:hAnsi="Times"/>
            <w:noProof/>
            <w:webHidden/>
            <w:sz w:val="24"/>
            <w:szCs w:val="24"/>
          </w:rPr>
          <w:fldChar w:fldCharType="end"/>
        </w:r>
      </w:hyperlink>
    </w:p>
    <w:p w14:paraId="2EE12F23" w14:textId="7153D558" w:rsidR="00140CEB" w:rsidRPr="00140CEB" w:rsidRDefault="002072EB">
      <w:pPr>
        <w:pStyle w:val="TOC3"/>
        <w:tabs>
          <w:tab w:val="right" w:leader="dot" w:pos="7927"/>
        </w:tabs>
        <w:rPr>
          <w:rFonts w:ascii="Times" w:eastAsiaTheme="minorEastAsia" w:hAnsi="Times"/>
          <w:noProof/>
          <w:sz w:val="24"/>
          <w:szCs w:val="24"/>
          <w:lang w:val="en-US"/>
        </w:rPr>
      </w:pPr>
      <w:hyperlink w:anchor="_Toc141133093" w:history="1">
        <w:r w:rsidR="00140CEB" w:rsidRPr="00140CEB">
          <w:rPr>
            <w:rStyle w:val="Hyperlink"/>
            <w:rFonts w:ascii="Times" w:hAnsi="Times"/>
            <w:noProof/>
            <w:sz w:val="24"/>
            <w:szCs w:val="24"/>
          </w:rPr>
          <w:t>3.4.4. 1961 Anayasası</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_Toc141133093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121</w:t>
        </w:r>
        <w:r w:rsidR="00140CEB" w:rsidRPr="00140CEB">
          <w:rPr>
            <w:rFonts w:ascii="Times" w:hAnsi="Times"/>
            <w:noProof/>
            <w:webHidden/>
            <w:sz w:val="24"/>
            <w:szCs w:val="24"/>
          </w:rPr>
          <w:fldChar w:fldCharType="end"/>
        </w:r>
      </w:hyperlink>
    </w:p>
    <w:p w14:paraId="0FDA2CE8" w14:textId="42E37242" w:rsidR="00140CEB" w:rsidRPr="00140CEB" w:rsidRDefault="002072EB">
      <w:pPr>
        <w:pStyle w:val="TOC3"/>
        <w:tabs>
          <w:tab w:val="right" w:leader="dot" w:pos="7927"/>
        </w:tabs>
        <w:rPr>
          <w:rFonts w:ascii="Times" w:eastAsiaTheme="minorEastAsia" w:hAnsi="Times"/>
          <w:noProof/>
          <w:sz w:val="24"/>
          <w:szCs w:val="24"/>
          <w:lang w:val="en-US"/>
        </w:rPr>
      </w:pPr>
      <w:hyperlink w:anchor="_Toc141133094" w:history="1">
        <w:r w:rsidR="00140CEB" w:rsidRPr="00140CEB">
          <w:rPr>
            <w:rStyle w:val="Hyperlink"/>
            <w:rFonts w:ascii="Times" w:hAnsi="Times"/>
            <w:noProof/>
            <w:sz w:val="24"/>
            <w:szCs w:val="24"/>
          </w:rPr>
          <w:t>3.4.5. 1982 Anayasası</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_Toc141133094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123</w:t>
        </w:r>
        <w:r w:rsidR="00140CEB" w:rsidRPr="00140CEB">
          <w:rPr>
            <w:rFonts w:ascii="Times" w:hAnsi="Times"/>
            <w:noProof/>
            <w:webHidden/>
            <w:sz w:val="24"/>
            <w:szCs w:val="24"/>
          </w:rPr>
          <w:fldChar w:fldCharType="end"/>
        </w:r>
      </w:hyperlink>
    </w:p>
    <w:p w14:paraId="3FF975EE" w14:textId="6092CDCA" w:rsidR="00140CEB" w:rsidRPr="00140CEB" w:rsidRDefault="002072EB">
      <w:pPr>
        <w:pStyle w:val="TOC3"/>
        <w:tabs>
          <w:tab w:val="right" w:leader="dot" w:pos="7927"/>
        </w:tabs>
        <w:rPr>
          <w:rFonts w:ascii="Times" w:eastAsiaTheme="minorEastAsia" w:hAnsi="Times"/>
          <w:noProof/>
          <w:sz w:val="24"/>
          <w:szCs w:val="24"/>
          <w:lang w:val="en-US"/>
        </w:rPr>
      </w:pPr>
      <w:hyperlink w:anchor="_Toc141133095" w:history="1">
        <w:r w:rsidR="00140CEB" w:rsidRPr="00140CEB">
          <w:rPr>
            <w:rStyle w:val="Hyperlink"/>
            <w:rFonts w:ascii="Times" w:hAnsi="Times"/>
            <w:noProof/>
            <w:sz w:val="24"/>
            <w:szCs w:val="24"/>
          </w:rPr>
          <w:t>3.4.6. 2000’li Yıllar ve Sonrası</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_Toc141133095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128</w:t>
        </w:r>
        <w:r w:rsidR="00140CEB" w:rsidRPr="00140CEB">
          <w:rPr>
            <w:rFonts w:ascii="Times" w:hAnsi="Times"/>
            <w:noProof/>
            <w:webHidden/>
            <w:sz w:val="24"/>
            <w:szCs w:val="24"/>
          </w:rPr>
          <w:fldChar w:fldCharType="end"/>
        </w:r>
      </w:hyperlink>
    </w:p>
    <w:p w14:paraId="602E0765" w14:textId="3D62B5BC" w:rsidR="00140CEB" w:rsidRPr="00140CEB" w:rsidRDefault="002072EB">
      <w:pPr>
        <w:pStyle w:val="TOC1"/>
        <w:rPr>
          <w:rFonts w:ascii="Times" w:eastAsiaTheme="minorEastAsia" w:hAnsi="Times" w:cstheme="minorBidi"/>
          <w:b w:val="0"/>
          <w:bCs w:val="0"/>
          <w:lang w:val="en-US"/>
        </w:rPr>
      </w:pPr>
      <w:hyperlink w:anchor="_Toc141133096" w:history="1">
        <w:r w:rsidR="00140CEB" w:rsidRPr="00140CEB">
          <w:rPr>
            <w:rStyle w:val="Hyperlink"/>
            <w:rFonts w:ascii="Times" w:eastAsia="Times New Roman" w:hAnsi="Times"/>
          </w:rPr>
          <w:t>BÖLÜM 4</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_Toc141133096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132</w:t>
        </w:r>
        <w:r w:rsidR="00140CEB" w:rsidRPr="00140CEB">
          <w:rPr>
            <w:rFonts w:ascii="Times" w:hAnsi="Times"/>
            <w:webHidden/>
          </w:rPr>
          <w:fldChar w:fldCharType="end"/>
        </w:r>
      </w:hyperlink>
    </w:p>
    <w:p w14:paraId="60DEA906" w14:textId="3F22C435" w:rsidR="00140CEB" w:rsidRPr="00140CEB" w:rsidRDefault="002072EB">
      <w:pPr>
        <w:pStyle w:val="TOC1"/>
        <w:rPr>
          <w:rFonts w:ascii="Times" w:eastAsiaTheme="minorEastAsia" w:hAnsi="Times" w:cstheme="minorBidi"/>
          <w:b w:val="0"/>
          <w:bCs w:val="0"/>
          <w:lang w:val="en-US"/>
        </w:rPr>
      </w:pPr>
      <w:hyperlink w:anchor="_Toc141133097" w:history="1">
        <w:r w:rsidR="00140CEB" w:rsidRPr="00140CEB">
          <w:rPr>
            <w:rStyle w:val="Hyperlink"/>
            <w:rFonts w:ascii="Times" w:eastAsia="Times New Roman" w:hAnsi="Times"/>
          </w:rPr>
          <w:t>NICOLAS SARKOZY’NİN 2007-2012 YILARI ARASINDAKİ SÖYLEMLERİNDEKİ ÜLKE İÇİ ETNİK KÜLTÜREL VE SİYASİ ÖTEKİNİN ANALİZİ</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_Toc141133097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132</w:t>
        </w:r>
        <w:r w:rsidR="00140CEB" w:rsidRPr="00140CEB">
          <w:rPr>
            <w:rFonts w:ascii="Times" w:hAnsi="Times"/>
            <w:webHidden/>
          </w:rPr>
          <w:fldChar w:fldCharType="end"/>
        </w:r>
      </w:hyperlink>
    </w:p>
    <w:p w14:paraId="59072445" w14:textId="6A6A1EF9" w:rsidR="00140CEB" w:rsidRPr="00140CEB" w:rsidRDefault="002072EB">
      <w:pPr>
        <w:pStyle w:val="TOC2"/>
        <w:rPr>
          <w:rFonts w:ascii="Times" w:eastAsiaTheme="minorEastAsia" w:hAnsi="Times" w:cstheme="minorBidi"/>
          <w:lang w:val="en-US"/>
        </w:rPr>
      </w:pPr>
      <w:hyperlink w:anchor="_Toc141133098" w:history="1">
        <w:r w:rsidR="00140CEB" w:rsidRPr="00140CEB">
          <w:rPr>
            <w:rStyle w:val="Hyperlink"/>
            <w:rFonts w:ascii="Times" w:hAnsi="Times"/>
          </w:rPr>
          <w:t>4.1. Nicolas Sarkozy (2007-2012)</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_Toc141133098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132</w:t>
        </w:r>
        <w:r w:rsidR="00140CEB" w:rsidRPr="00140CEB">
          <w:rPr>
            <w:rFonts w:ascii="Times" w:hAnsi="Times"/>
            <w:webHidden/>
          </w:rPr>
          <w:fldChar w:fldCharType="end"/>
        </w:r>
      </w:hyperlink>
    </w:p>
    <w:p w14:paraId="020743C9" w14:textId="51AED90C" w:rsidR="00140CEB" w:rsidRPr="00140CEB" w:rsidRDefault="002072EB">
      <w:pPr>
        <w:pStyle w:val="TOC2"/>
        <w:rPr>
          <w:rFonts w:ascii="Times" w:eastAsiaTheme="minorEastAsia" w:hAnsi="Times" w:cstheme="minorBidi"/>
          <w:lang w:val="en-US"/>
        </w:rPr>
      </w:pPr>
      <w:hyperlink w:anchor="_Toc141133099" w:history="1">
        <w:r w:rsidR="00140CEB" w:rsidRPr="00140CEB">
          <w:rPr>
            <w:rStyle w:val="Hyperlink"/>
            <w:rFonts w:ascii="Times" w:hAnsi="Times"/>
          </w:rPr>
          <w:t>4.2. Öteki Olarak Etnik ve Toplumsal Kimlikler</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_Toc141133099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132</w:t>
        </w:r>
        <w:r w:rsidR="00140CEB" w:rsidRPr="00140CEB">
          <w:rPr>
            <w:rFonts w:ascii="Times" w:hAnsi="Times"/>
            <w:webHidden/>
          </w:rPr>
          <w:fldChar w:fldCharType="end"/>
        </w:r>
      </w:hyperlink>
    </w:p>
    <w:p w14:paraId="6BC02BE4" w14:textId="104FFBB1" w:rsidR="00140CEB" w:rsidRPr="00140CEB" w:rsidRDefault="002072EB">
      <w:pPr>
        <w:pStyle w:val="TOC3"/>
        <w:tabs>
          <w:tab w:val="right" w:leader="dot" w:pos="7927"/>
        </w:tabs>
        <w:rPr>
          <w:rFonts w:ascii="Times" w:eastAsiaTheme="minorEastAsia" w:hAnsi="Times"/>
          <w:noProof/>
          <w:sz w:val="24"/>
          <w:szCs w:val="24"/>
          <w:lang w:val="en-US"/>
        </w:rPr>
      </w:pPr>
      <w:hyperlink w:anchor="_Toc141133100" w:history="1">
        <w:r w:rsidR="00140CEB" w:rsidRPr="00140CEB">
          <w:rPr>
            <w:rStyle w:val="Hyperlink"/>
            <w:rFonts w:ascii="Times" w:hAnsi="Times"/>
            <w:noProof/>
            <w:sz w:val="24"/>
            <w:szCs w:val="24"/>
          </w:rPr>
          <w:t>4.2.1.Genel Olarak Göçmenler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_Toc141133100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133</w:t>
        </w:r>
        <w:r w:rsidR="00140CEB" w:rsidRPr="00140CEB">
          <w:rPr>
            <w:rFonts w:ascii="Times" w:hAnsi="Times"/>
            <w:noProof/>
            <w:webHidden/>
            <w:sz w:val="24"/>
            <w:szCs w:val="24"/>
          </w:rPr>
          <w:fldChar w:fldCharType="end"/>
        </w:r>
      </w:hyperlink>
    </w:p>
    <w:p w14:paraId="4660BAAC" w14:textId="155C16E7" w:rsidR="00140CEB" w:rsidRPr="00140CEB" w:rsidRDefault="002072EB">
      <w:pPr>
        <w:pStyle w:val="TOC3"/>
        <w:tabs>
          <w:tab w:val="right" w:leader="dot" w:pos="7927"/>
        </w:tabs>
        <w:rPr>
          <w:rFonts w:ascii="Times" w:eastAsiaTheme="minorEastAsia" w:hAnsi="Times"/>
          <w:noProof/>
          <w:sz w:val="24"/>
          <w:szCs w:val="24"/>
          <w:lang w:val="en-US"/>
        </w:rPr>
      </w:pPr>
      <w:hyperlink w:anchor="_Toc141133101" w:history="1">
        <w:r w:rsidR="00140CEB" w:rsidRPr="00140CEB">
          <w:rPr>
            <w:rStyle w:val="Hyperlink"/>
            <w:rFonts w:ascii="Times" w:hAnsi="Times"/>
            <w:noProof/>
            <w:sz w:val="24"/>
            <w:szCs w:val="24"/>
          </w:rPr>
          <w:t>4.2.2. Vatandaş veya Göçmen Müslümanlar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_Toc141133101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142</w:t>
        </w:r>
        <w:r w:rsidR="00140CEB" w:rsidRPr="00140CEB">
          <w:rPr>
            <w:rFonts w:ascii="Times" w:hAnsi="Times"/>
            <w:noProof/>
            <w:webHidden/>
            <w:sz w:val="24"/>
            <w:szCs w:val="24"/>
          </w:rPr>
          <w:fldChar w:fldCharType="end"/>
        </w:r>
      </w:hyperlink>
    </w:p>
    <w:p w14:paraId="07E6382C" w14:textId="0D57E50A" w:rsidR="00140CEB" w:rsidRPr="00140CEB" w:rsidRDefault="002072EB">
      <w:pPr>
        <w:pStyle w:val="TOC3"/>
        <w:tabs>
          <w:tab w:val="right" w:leader="dot" w:pos="7927"/>
        </w:tabs>
        <w:rPr>
          <w:rFonts w:ascii="Times" w:eastAsiaTheme="minorEastAsia" w:hAnsi="Times"/>
          <w:noProof/>
          <w:sz w:val="24"/>
          <w:szCs w:val="24"/>
          <w:lang w:val="en-US"/>
        </w:rPr>
      </w:pPr>
      <w:hyperlink w:anchor="_Toc141133102" w:history="1">
        <w:r w:rsidR="00140CEB" w:rsidRPr="00140CEB">
          <w:rPr>
            <w:rStyle w:val="Hyperlink"/>
            <w:rFonts w:ascii="Times" w:hAnsi="Times"/>
            <w:noProof/>
            <w:sz w:val="24"/>
            <w:szCs w:val="24"/>
          </w:rPr>
          <w:t>4.2.3. Sahraaltı Afrika</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_Toc141133102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162</w:t>
        </w:r>
        <w:r w:rsidR="00140CEB" w:rsidRPr="00140CEB">
          <w:rPr>
            <w:rFonts w:ascii="Times" w:hAnsi="Times"/>
            <w:noProof/>
            <w:webHidden/>
            <w:sz w:val="24"/>
            <w:szCs w:val="24"/>
          </w:rPr>
          <w:fldChar w:fldCharType="end"/>
        </w:r>
      </w:hyperlink>
    </w:p>
    <w:p w14:paraId="2605A1BD" w14:textId="603AEA42" w:rsidR="00140CEB" w:rsidRPr="00140CEB" w:rsidRDefault="002072EB">
      <w:pPr>
        <w:pStyle w:val="TOC3"/>
        <w:tabs>
          <w:tab w:val="right" w:leader="dot" w:pos="7927"/>
        </w:tabs>
        <w:rPr>
          <w:rFonts w:ascii="Times" w:eastAsiaTheme="minorEastAsia" w:hAnsi="Times"/>
          <w:noProof/>
          <w:sz w:val="24"/>
          <w:szCs w:val="24"/>
          <w:lang w:val="en-US"/>
        </w:rPr>
      </w:pPr>
      <w:hyperlink w:anchor="_Toc141133103" w:history="1">
        <w:r w:rsidR="00140CEB" w:rsidRPr="00140CEB">
          <w:rPr>
            <w:rStyle w:val="Hyperlink"/>
            <w:rFonts w:ascii="Times" w:hAnsi="Times"/>
            <w:noProof/>
            <w:sz w:val="24"/>
            <w:szCs w:val="24"/>
          </w:rPr>
          <w:t>4.2.4. Asya Kökenliler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_Toc141133103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179</w:t>
        </w:r>
        <w:r w:rsidR="00140CEB" w:rsidRPr="00140CEB">
          <w:rPr>
            <w:rFonts w:ascii="Times" w:hAnsi="Times"/>
            <w:noProof/>
            <w:webHidden/>
            <w:sz w:val="24"/>
            <w:szCs w:val="24"/>
          </w:rPr>
          <w:fldChar w:fldCharType="end"/>
        </w:r>
      </w:hyperlink>
    </w:p>
    <w:p w14:paraId="411A9A84" w14:textId="0744BBDA" w:rsidR="00140CEB" w:rsidRPr="00140CEB" w:rsidRDefault="002072EB">
      <w:pPr>
        <w:pStyle w:val="TOC3"/>
        <w:tabs>
          <w:tab w:val="right" w:leader="dot" w:pos="7927"/>
        </w:tabs>
        <w:rPr>
          <w:rFonts w:ascii="Times" w:eastAsiaTheme="minorEastAsia" w:hAnsi="Times"/>
          <w:noProof/>
          <w:sz w:val="24"/>
          <w:szCs w:val="24"/>
          <w:lang w:val="en-US"/>
        </w:rPr>
      </w:pPr>
      <w:hyperlink w:anchor="_Toc141133104" w:history="1">
        <w:r w:rsidR="00140CEB" w:rsidRPr="00140CEB">
          <w:rPr>
            <w:rStyle w:val="Hyperlink"/>
            <w:rFonts w:ascii="Times" w:hAnsi="Times"/>
            <w:noProof/>
            <w:sz w:val="24"/>
            <w:szCs w:val="24"/>
          </w:rPr>
          <w:t>4.2.5. Yahudi Toplumu</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_Toc141133104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182</w:t>
        </w:r>
        <w:r w:rsidR="00140CEB" w:rsidRPr="00140CEB">
          <w:rPr>
            <w:rFonts w:ascii="Times" w:hAnsi="Times"/>
            <w:noProof/>
            <w:webHidden/>
            <w:sz w:val="24"/>
            <w:szCs w:val="24"/>
          </w:rPr>
          <w:fldChar w:fldCharType="end"/>
        </w:r>
      </w:hyperlink>
    </w:p>
    <w:p w14:paraId="34A67F0A" w14:textId="73E8AA51" w:rsidR="00140CEB" w:rsidRPr="00140CEB" w:rsidRDefault="002072EB">
      <w:pPr>
        <w:pStyle w:val="TOC3"/>
        <w:tabs>
          <w:tab w:val="right" w:leader="dot" w:pos="7927"/>
        </w:tabs>
        <w:rPr>
          <w:rFonts w:ascii="Times" w:eastAsiaTheme="minorEastAsia" w:hAnsi="Times"/>
          <w:noProof/>
          <w:sz w:val="24"/>
          <w:szCs w:val="24"/>
          <w:lang w:val="en-US"/>
        </w:rPr>
      </w:pPr>
      <w:hyperlink w:anchor="_Toc141133105" w:history="1">
        <w:r w:rsidR="00140CEB" w:rsidRPr="00140CEB">
          <w:rPr>
            <w:rStyle w:val="Hyperlink"/>
            <w:rFonts w:ascii="Times" w:hAnsi="Times"/>
            <w:noProof/>
            <w:sz w:val="24"/>
            <w:szCs w:val="24"/>
          </w:rPr>
          <w:t>4.2.6. Romanlar ve Göçebe Topluluklar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_Toc141133105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192</w:t>
        </w:r>
        <w:r w:rsidR="00140CEB" w:rsidRPr="00140CEB">
          <w:rPr>
            <w:rFonts w:ascii="Times" w:hAnsi="Times"/>
            <w:noProof/>
            <w:webHidden/>
            <w:sz w:val="24"/>
            <w:szCs w:val="24"/>
          </w:rPr>
          <w:fldChar w:fldCharType="end"/>
        </w:r>
      </w:hyperlink>
    </w:p>
    <w:p w14:paraId="7264683D" w14:textId="04E301E1" w:rsidR="00140CEB" w:rsidRPr="00140CEB" w:rsidRDefault="002072EB">
      <w:pPr>
        <w:pStyle w:val="TOC2"/>
        <w:rPr>
          <w:rFonts w:ascii="Times" w:eastAsiaTheme="minorEastAsia" w:hAnsi="Times" w:cstheme="minorBidi"/>
          <w:lang w:val="en-US"/>
        </w:rPr>
      </w:pPr>
      <w:hyperlink w:anchor="_Toc141133106" w:history="1">
        <w:r w:rsidR="00140CEB" w:rsidRPr="00140CEB">
          <w:rPr>
            <w:rStyle w:val="Hyperlink"/>
            <w:rFonts w:ascii="Times" w:hAnsi="Times"/>
          </w:rPr>
          <w:t>4.3. Öteki Olarak İç Siyasette Rakip İdeolojideki Partiler</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_Toc141133106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194</w:t>
        </w:r>
        <w:r w:rsidR="00140CEB" w:rsidRPr="00140CEB">
          <w:rPr>
            <w:rFonts w:ascii="Times" w:hAnsi="Times"/>
            <w:webHidden/>
          </w:rPr>
          <w:fldChar w:fldCharType="end"/>
        </w:r>
      </w:hyperlink>
    </w:p>
    <w:p w14:paraId="10FFE28D" w14:textId="21D7D659" w:rsidR="00140CEB" w:rsidRPr="00140CEB" w:rsidRDefault="002072EB">
      <w:pPr>
        <w:pStyle w:val="TOC3"/>
        <w:tabs>
          <w:tab w:val="right" w:leader="dot" w:pos="7927"/>
        </w:tabs>
        <w:rPr>
          <w:rFonts w:ascii="Times" w:eastAsiaTheme="minorEastAsia" w:hAnsi="Times"/>
          <w:noProof/>
          <w:sz w:val="24"/>
          <w:szCs w:val="24"/>
          <w:lang w:val="en-US"/>
        </w:rPr>
      </w:pPr>
      <w:hyperlink w:anchor="_Toc141133107" w:history="1">
        <w:r w:rsidR="00140CEB" w:rsidRPr="00140CEB">
          <w:rPr>
            <w:rStyle w:val="Hyperlink"/>
            <w:rFonts w:ascii="Times" w:hAnsi="Times"/>
            <w:noProof/>
            <w:sz w:val="24"/>
            <w:szCs w:val="24"/>
          </w:rPr>
          <w:t>4.3.1. Sosyalist Parti (PS)</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_Toc141133107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198</w:t>
        </w:r>
        <w:r w:rsidR="00140CEB" w:rsidRPr="00140CEB">
          <w:rPr>
            <w:rFonts w:ascii="Times" w:hAnsi="Times"/>
            <w:noProof/>
            <w:webHidden/>
            <w:sz w:val="24"/>
            <w:szCs w:val="24"/>
          </w:rPr>
          <w:fldChar w:fldCharType="end"/>
        </w:r>
      </w:hyperlink>
    </w:p>
    <w:p w14:paraId="43A2EE66" w14:textId="4EB5C4DA" w:rsidR="00140CEB" w:rsidRPr="00140CEB" w:rsidRDefault="002072EB">
      <w:pPr>
        <w:pStyle w:val="TOC3"/>
        <w:tabs>
          <w:tab w:val="right" w:leader="dot" w:pos="7927"/>
        </w:tabs>
        <w:rPr>
          <w:rFonts w:ascii="Times" w:eastAsiaTheme="minorEastAsia" w:hAnsi="Times"/>
          <w:noProof/>
          <w:sz w:val="24"/>
          <w:szCs w:val="24"/>
          <w:lang w:val="en-US"/>
        </w:rPr>
      </w:pPr>
      <w:hyperlink w:anchor="_Toc141133108" w:history="1">
        <w:r w:rsidR="00140CEB" w:rsidRPr="00140CEB">
          <w:rPr>
            <w:rStyle w:val="Hyperlink"/>
            <w:rFonts w:ascii="Times" w:hAnsi="Times"/>
            <w:noProof/>
            <w:sz w:val="24"/>
            <w:szCs w:val="24"/>
          </w:rPr>
          <w:t>4.3.2. Sol Parti (PG)</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_Toc141133108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209</w:t>
        </w:r>
        <w:r w:rsidR="00140CEB" w:rsidRPr="00140CEB">
          <w:rPr>
            <w:rFonts w:ascii="Times" w:hAnsi="Times"/>
            <w:noProof/>
            <w:webHidden/>
            <w:sz w:val="24"/>
            <w:szCs w:val="24"/>
          </w:rPr>
          <w:fldChar w:fldCharType="end"/>
        </w:r>
      </w:hyperlink>
    </w:p>
    <w:p w14:paraId="5CA09B37" w14:textId="09D6AF6C" w:rsidR="00140CEB" w:rsidRPr="00140CEB" w:rsidRDefault="002072EB">
      <w:pPr>
        <w:pStyle w:val="TOC3"/>
        <w:tabs>
          <w:tab w:val="right" w:leader="dot" w:pos="7927"/>
        </w:tabs>
        <w:rPr>
          <w:rFonts w:ascii="Times" w:eastAsiaTheme="minorEastAsia" w:hAnsi="Times"/>
          <w:noProof/>
          <w:sz w:val="24"/>
          <w:szCs w:val="24"/>
          <w:lang w:val="en-US"/>
        </w:rPr>
      </w:pPr>
      <w:hyperlink w:anchor="_Toc141133109" w:history="1">
        <w:r w:rsidR="00140CEB" w:rsidRPr="00140CEB">
          <w:rPr>
            <w:rStyle w:val="Hyperlink"/>
            <w:rFonts w:ascii="Times" w:hAnsi="Times"/>
            <w:noProof/>
            <w:sz w:val="24"/>
            <w:szCs w:val="24"/>
          </w:rPr>
          <w:t>4.3.3. Yeşiller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_Toc141133109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213</w:t>
        </w:r>
        <w:r w:rsidR="00140CEB" w:rsidRPr="00140CEB">
          <w:rPr>
            <w:rFonts w:ascii="Times" w:hAnsi="Times"/>
            <w:noProof/>
            <w:webHidden/>
            <w:sz w:val="24"/>
            <w:szCs w:val="24"/>
          </w:rPr>
          <w:fldChar w:fldCharType="end"/>
        </w:r>
      </w:hyperlink>
    </w:p>
    <w:p w14:paraId="186F76DB" w14:textId="0CE11EF5" w:rsidR="00140CEB" w:rsidRPr="00140CEB" w:rsidRDefault="002072EB">
      <w:pPr>
        <w:pStyle w:val="TOC3"/>
        <w:tabs>
          <w:tab w:val="right" w:leader="dot" w:pos="7927"/>
        </w:tabs>
        <w:rPr>
          <w:rFonts w:ascii="Times" w:eastAsiaTheme="minorEastAsia" w:hAnsi="Times"/>
          <w:noProof/>
          <w:sz w:val="24"/>
          <w:szCs w:val="24"/>
          <w:lang w:val="en-US"/>
        </w:rPr>
      </w:pPr>
      <w:hyperlink w:anchor="_Toc141133110" w:history="1">
        <w:r w:rsidR="00140CEB" w:rsidRPr="00140CEB">
          <w:rPr>
            <w:rStyle w:val="Hyperlink"/>
            <w:rFonts w:ascii="Times" w:hAnsi="Times"/>
            <w:noProof/>
            <w:sz w:val="24"/>
            <w:szCs w:val="24"/>
          </w:rPr>
          <w:t>4.3.4. Ulusal Cephe (FN)</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_Toc141133110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217</w:t>
        </w:r>
        <w:r w:rsidR="00140CEB" w:rsidRPr="00140CEB">
          <w:rPr>
            <w:rFonts w:ascii="Times" w:hAnsi="Times"/>
            <w:noProof/>
            <w:webHidden/>
            <w:sz w:val="24"/>
            <w:szCs w:val="24"/>
          </w:rPr>
          <w:fldChar w:fldCharType="end"/>
        </w:r>
      </w:hyperlink>
    </w:p>
    <w:p w14:paraId="072F7C4A" w14:textId="6F53E857" w:rsidR="00140CEB" w:rsidRPr="00140CEB" w:rsidRDefault="002072EB">
      <w:pPr>
        <w:pStyle w:val="TOC1"/>
        <w:rPr>
          <w:rFonts w:ascii="Times" w:eastAsiaTheme="minorEastAsia" w:hAnsi="Times" w:cstheme="minorBidi"/>
          <w:b w:val="0"/>
          <w:bCs w:val="0"/>
          <w:lang w:val="en-US"/>
        </w:rPr>
      </w:pPr>
      <w:hyperlink w:anchor="_Toc141133111" w:history="1">
        <w:r w:rsidR="00140CEB" w:rsidRPr="00140CEB">
          <w:rPr>
            <w:rStyle w:val="Hyperlink"/>
            <w:rFonts w:ascii="Times" w:eastAsia="Times New Roman" w:hAnsi="Times"/>
          </w:rPr>
          <w:t>BÖLÜM 5</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_Toc141133111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222</w:t>
        </w:r>
        <w:r w:rsidR="00140CEB" w:rsidRPr="00140CEB">
          <w:rPr>
            <w:rFonts w:ascii="Times" w:hAnsi="Times"/>
            <w:webHidden/>
          </w:rPr>
          <w:fldChar w:fldCharType="end"/>
        </w:r>
      </w:hyperlink>
    </w:p>
    <w:p w14:paraId="43BFD65C" w14:textId="2ACE61AE" w:rsidR="00140CEB" w:rsidRPr="00140CEB" w:rsidRDefault="002072EB">
      <w:pPr>
        <w:pStyle w:val="TOC1"/>
        <w:rPr>
          <w:rFonts w:ascii="Times" w:eastAsiaTheme="minorEastAsia" w:hAnsi="Times" w:cstheme="minorBidi"/>
          <w:b w:val="0"/>
          <w:bCs w:val="0"/>
          <w:lang w:val="en-US"/>
        </w:rPr>
      </w:pPr>
      <w:hyperlink w:anchor="_Toc141133112" w:history="1">
        <w:r w:rsidR="00140CEB" w:rsidRPr="00140CEB">
          <w:rPr>
            <w:rStyle w:val="Hyperlink"/>
            <w:rFonts w:ascii="Times" w:eastAsia="Times New Roman" w:hAnsi="Times"/>
          </w:rPr>
          <w:t>RECEP TAYYİP ERDOĞAN’IN 2007-2012 YILARI ARASINDAKİ SÖYLEMLERİNDEKİ ÜLKE İÇİ ETNİK KÜLTÜREL VE SİYASİ ÖTEKİNİN ANALİZİ</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_Toc141133112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222</w:t>
        </w:r>
        <w:r w:rsidR="00140CEB" w:rsidRPr="00140CEB">
          <w:rPr>
            <w:rFonts w:ascii="Times" w:hAnsi="Times"/>
            <w:webHidden/>
          </w:rPr>
          <w:fldChar w:fldCharType="end"/>
        </w:r>
      </w:hyperlink>
    </w:p>
    <w:p w14:paraId="318F5918" w14:textId="16FB1658" w:rsidR="00140CEB" w:rsidRPr="00140CEB" w:rsidRDefault="002072EB">
      <w:pPr>
        <w:pStyle w:val="TOC2"/>
        <w:rPr>
          <w:rFonts w:ascii="Times" w:eastAsiaTheme="minorEastAsia" w:hAnsi="Times" w:cstheme="minorBidi"/>
          <w:lang w:val="en-US"/>
        </w:rPr>
      </w:pPr>
      <w:hyperlink w:anchor="_Toc141133113" w:history="1">
        <w:r w:rsidR="00140CEB" w:rsidRPr="00140CEB">
          <w:rPr>
            <w:rStyle w:val="Hyperlink"/>
            <w:rFonts w:ascii="Times" w:hAnsi="Times"/>
          </w:rPr>
          <w:t>5.1. Recep Tayyip Erdoğan (2007-2012)</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_Toc141133113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222</w:t>
        </w:r>
        <w:r w:rsidR="00140CEB" w:rsidRPr="00140CEB">
          <w:rPr>
            <w:rFonts w:ascii="Times" w:hAnsi="Times"/>
            <w:webHidden/>
          </w:rPr>
          <w:fldChar w:fldCharType="end"/>
        </w:r>
      </w:hyperlink>
    </w:p>
    <w:p w14:paraId="6359C71B" w14:textId="0992C9AB" w:rsidR="00140CEB" w:rsidRPr="00140CEB" w:rsidRDefault="002072EB">
      <w:pPr>
        <w:pStyle w:val="TOC2"/>
        <w:rPr>
          <w:rFonts w:ascii="Times" w:eastAsiaTheme="minorEastAsia" w:hAnsi="Times" w:cstheme="minorBidi"/>
          <w:lang w:val="en-US"/>
        </w:rPr>
      </w:pPr>
      <w:hyperlink w:anchor="_Toc141133114" w:history="1">
        <w:r w:rsidR="00140CEB" w:rsidRPr="00140CEB">
          <w:rPr>
            <w:rStyle w:val="Hyperlink"/>
            <w:rFonts w:ascii="Times" w:hAnsi="Times"/>
          </w:rPr>
          <w:t>5.2. Öteki Olarak Etnik ve Toplumsal Kimlikler</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_Toc141133114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225</w:t>
        </w:r>
        <w:r w:rsidR="00140CEB" w:rsidRPr="00140CEB">
          <w:rPr>
            <w:rFonts w:ascii="Times" w:hAnsi="Times"/>
            <w:webHidden/>
          </w:rPr>
          <w:fldChar w:fldCharType="end"/>
        </w:r>
      </w:hyperlink>
    </w:p>
    <w:p w14:paraId="06384B67" w14:textId="4CD1465D" w:rsidR="00140CEB" w:rsidRPr="00140CEB" w:rsidRDefault="002072EB">
      <w:pPr>
        <w:pStyle w:val="TOC3"/>
        <w:tabs>
          <w:tab w:val="right" w:leader="dot" w:pos="7927"/>
        </w:tabs>
        <w:rPr>
          <w:rFonts w:ascii="Times" w:eastAsiaTheme="minorEastAsia" w:hAnsi="Times"/>
          <w:noProof/>
          <w:sz w:val="24"/>
          <w:szCs w:val="24"/>
          <w:lang w:val="en-US"/>
        </w:rPr>
      </w:pPr>
      <w:hyperlink w:anchor="_Toc141133115" w:history="1">
        <w:r w:rsidR="00140CEB" w:rsidRPr="00140CEB">
          <w:rPr>
            <w:rStyle w:val="Hyperlink"/>
            <w:rFonts w:ascii="Times" w:hAnsi="Times"/>
            <w:noProof/>
            <w:sz w:val="24"/>
            <w:szCs w:val="24"/>
          </w:rPr>
          <w:t>5.2.1. Kürtler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_Toc141133115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226</w:t>
        </w:r>
        <w:r w:rsidR="00140CEB" w:rsidRPr="00140CEB">
          <w:rPr>
            <w:rFonts w:ascii="Times" w:hAnsi="Times"/>
            <w:noProof/>
            <w:webHidden/>
            <w:sz w:val="24"/>
            <w:szCs w:val="24"/>
          </w:rPr>
          <w:fldChar w:fldCharType="end"/>
        </w:r>
      </w:hyperlink>
    </w:p>
    <w:p w14:paraId="38B153CF" w14:textId="314FBA8B" w:rsidR="00140CEB" w:rsidRPr="00140CEB" w:rsidRDefault="002072EB">
      <w:pPr>
        <w:pStyle w:val="TOC3"/>
        <w:tabs>
          <w:tab w:val="right" w:leader="dot" w:pos="7927"/>
        </w:tabs>
        <w:rPr>
          <w:rFonts w:ascii="Times" w:eastAsiaTheme="minorEastAsia" w:hAnsi="Times"/>
          <w:noProof/>
          <w:sz w:val="24"/>
          <w:szCs w:val="24"/>
          <w:lang w:val="en-US"/>
        </w:rPr>
      </w:pPr>
      <w:hyperlink w:anchor="_Toc141133116" w:history="1">
        <w:r w:rsidR="00140CEB" w:rsidRPr="00140CEB">
          <w:rPr>
            <w:rStyle w:val="Hyperlink"/>
            <w:rFonts w:ascii="Times" w:hAnsi="Times"/>
            <w:noProof/>
            <w:sz w:val="24"/>
            <w:szCs w:val="24"/>
          </w:rPr>
          <w:t>5.2.2. Aleviler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_Toc141133116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244</w:t>
        </w:r>
        <w:r w:rsidR="00140CEB" w:rsidRPr="00140CEB">
          <w:rPr>
            <w:rFonts w:ascii="Times" w:hAnsi="Times"/>
            <w:noProof/>
            <w:webHidden/>
            <w:sz w:val="24"/>
            <w:szCs w:val="24"/>
          </w:rPr>
          <w:fldChar w:fldCharType="end"/>
        </w:r>
      </w:hyperlink>
    </w:p>
    <w:p w14:paraId="05E8F82E" w14:textId="063751E6" w:rsidR="00140CEB" w:rsidRPr="00140CEB" w:rsidRDefault="002072EB">
      <w:pPr>
        <w:pStyle w:val="TOC3"/>
        <w:tabs>
          <w:tab w:val="right" w:leader="dot" w:pos="7927"/>
        </w:tabs>
        <w:rPr>
          <w:rFonts w:ascii="Times" w:eastAsiaTheme="minorEastAsia" w:hAnsi="Times"/>
          <w:noProof/>
          <w:sz w:val="24"/>
          <w:szCs w:val="24"/>
          <w:lang w:val="en-US"/>
        </w:rPr>
      </w:pPr>
      <w:hyperlink w:anchor="_Toc141133117" w:history="1">
        <w:r w:rsidR="00140CEB" w:rsidRPr="00140CEB">
          <w:rPr>
            <w:rStyle w:val="Hyperlink"/>
            <w:rFonts w:ascii="Times" w:hAnsi="Times"/>
            <w:noProof/>
            <w:sz w:val="24"/>
            <w:szCs w:val="24"/>
          </w:rPr>
          <w:t>5.2.3. Ermeniler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_Toc141133117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263</w:t>
        </w:r>
        <w:r w:rsidR="00140CEB" w:rsidRPr="00140CEB">
          <w:rPr>
            <w:rFonts w:ascii="Times" w:hAnsi="Times"/>
            <w:noProof/>
            <w:webHidden/>
            <w:sz w:val="24"/>
            <w:szCs w:val="24"/>
          </w:rPr>
          <w:fldChar w:fldCharType="end"/>
        </w:r>
      </w:hyperlink>
    </w:p>
    <w:p w14:paraId="5585B73B" w14:textId="39264F9E" w:rsidR="00140CEB" w:rsidRPr="00140CEB" w:rsidRDefault="002072EB">
      <w:pPr>
        <w:pStyle w:val="TOC3"/>
        <w:tabs>
          <w:tab w:val="right" w:leader="dot" w:pos="7927"/>
        </w:tabs>
        <w:rPr>
          <w:rFonts w:ascii="Times" w:eastAsiaTheme="minorEastAsia" w:hAnsi="Times"/>
          <w:noProof/>
          <w:sz w:val="24"/>
          <w:szCs w:val="24"/>
          <w:lang w:val="en-US"/>
        </w:rPr>
      </w:pPr>
      <w:hyperlink w:anchor="_Toc141133118" w:history="1">
        <w:r w:rsidR="00140CEB" w:rsidRPr="00140CEB">
          <w:rPr>
            <w:rStyle w:val="Hyperlink"/>
            <w:rFonts w:ascii="Times" w:hAnsi="Times"/>
            <w:noProof/>
            <w:sz w:val="24"/>
            <w:szCs w:val="24"/>
          </w:rPr>
          <w:t>5.2.4. Yahudiler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_Toc141133118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265</w:t>
        </w:r>
        <w:r w:rsidR="00140CEB" w:rsidRPr="00140CEB">
          <w:rPr>
            <w:rFonts w:ascii="Times" w:hAnsi="Times"/>
            <w:noProof/>
            <w:webHidden/>
            <w:sz w:val="24"/>
            <w:szCs w:val="24"/>
          </w:rPr>
          <w:fldChar w:fldCharType="end"/>
        </w:r>
      </w:hyperlink>
    </w:p>
    <w:p w14:paraId="05D326F5" w14:textId="4BF910FB" w:rsidR="00140CEB" w:rsidRPr="00140CEB" w:rsidRDefault="002072EB">
      <w:pPr>
        <w:pStyle w:val="TOC3"/>
        <w:tabs>
          <w:tab w:val="right" w:leader="dot" w:pos="7927"/>
        </w:tabs>
        <w:rPr>
          <w:rFonts w:ascii="Times" w:eastAsiaTheme="minorEastAsia" w:hAnsi="Times"/>
          <w:noProof/>
          <w:sz w:val="24"/>
          <w:szCs w:val="24"/>
          <w:lang w:val="en-US"/>
        </w:rPr>
      </w:pPr>
      <w:hyperlink w:anchor="_Toc141133119" w:history="1">
        <w:r w:rsidR="00140CEB" w:rsidRPr="00140CEB">
          <w:rPr>
            <w:rStyle w:val="Hyperlink"/>
            <w:rFonts w:ascii="Times" w:hAnsi="Times"/>
            <w:noProof/>
            <w:sz w:val="24"/>
            <w:szCs w:val="24"/>
          </w:rPr>
          <w:t>5.2.5. Rumlar</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_Toc141133119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266</w:t>
        </w:r>
        <w:r w:rsidR="00140CEB" w:rsidRPr="00140CEB">
          <w:rPr>
            <w:rFonts w:ascii="Times" w:hAnsi="Times"/>
            <w:noProof/>
            <w:webHidden/>
            <w:sz w:val="24"/>
            <w:szCs w:val="24"/>
          </w:rPr>
          <w:fldChar w:fldCharType="end"/>
        </w:r>
      </w:hyperlink>
    </w:p>
    <w:p w14:paraId="108A3449" w14:textId="0AA96186" w:rsidR="00140CEB" w:rsidRPr="00140CEB" w:rsidRDefault="002072EB">
      <w:pPr>
        <w:pStyle w:val="TOC2"/>
        <w:rPr>
          <w:rFonts w:ascii="Times" w:eastAsiaTheme="minorEastAsia" w:hAnsi="Times" w:cstheme="minorBidi"/>
          <w:lang w:val="en-US"/>
        </w:rPr>
      </w:pPr>
      <w:hyperlink w:anchor="_Toc141133120" w:history="1">
        <w:r w:rsidR="00140CEB" w:rsidRPr="00140CEB">
          <w:rPr>
            <w:rStyle w:val="Hyperlink"/>
            <w:rFonts w:ascii="Times" w:hAnsi="Times"/>
          </w:rPr>
          <w:t>5.3. Öteki Olarak İç Siyasette Rakip İdeolojideki Partiler</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_Toc141133120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268</w:t>
        </w:r>
        <w:r w:rsidR="00140CEB" w:rsidRPr="00140CEB">
          <w:rPr>
            <w:rFonts w:ascii="Times" w:hAnsi="Times"/>
            <w:webHidden/>
          </w:rPr>
          <w:fldChar w:fldCharType="end"/>
        </w:r>
      </w:hyperlink>
    </w:p>
    <w:p w14:paraId="21049F9A" w14:textId="453764CE" w:rsidR="00140CEB" w:rsidRPr="00140CEB" w:rsidRDefault="002072EB">
      <w:pPr>
        <w:pStyle w:val="TOC3"/>
        <w:tabs>
          <w:tab w:val="right" w:leader="dot" w:pos="7927"/>
        </w:tabs>
        <w:rPr>
          <w:rFonts w:ascii="Times" w:eastAsiaTheme="minorEastAsia" w:hAnsi="Times"/>
          <w:noProof/>
          <w:sz w:val="24"/>
          <w:szCs w:val="24"/>
          <w:lang w:val="en-US"/>
        </w:rPr>
      </w:pPr>
      <w:hyperlink w:anchor="_Toc141133121" w:history="1">
        <w:r w:rsidR="00140CEB" w:rsidRPr="00140CEB">
          <w:rPr>
            <w:rStyle w:val="Hyperlink"/>
            <w:rFonts w:ascii="Times" w:hAnsi="Times"/>
            <w:noProof/>
            <w:sz w:val="24"/>
            <w:szCs w:val="24"/>
          </w:rPr>
          <w:t>5.3.1. Cumhuriyet Halk Partisi (CHP)</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_Toc141133121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269</w:t>
        </w:r>
        <w:r w:rsidR="00140CEB" w:rsidRPr="00140CEB">
          <w:rPr>
            <w:rFonts w:ascii="Times" w:hAnsi="Times"/>
            <w:noProof/>
            <w:webHidden/>
            <w:sz w:val="24"/>
            <w:szCs w:val="24"/>
          </w:rPr>
          <w:fldChar w:fldCharType="end"/>
        </w:r>
      </w:hyperlink>
    </w:p>
    <w:p w14:paraId="496B8A92" w14:textId="2683FE66" w:rsidR="00140CEB" w:rsidRPr="00140CEB" w:rsidRDefault="002072EB">
      <w:pPr>
        <w:pStyle w:val="TOC3"/>
        <w:tabs>
          <w:tab w:val="right" w:leader="dot" w:pos="7927"/>
        </w:tabs>
        <w:rPr>
          <w:rFonts w:ascii="Times" w:eastAsiaTheme="minorEastAsia" w:hAnsi="Times"/>
          <w:noProof/>
          <w:sz w:val="24"/>
          <w:szCs w:val="24"/>
          <w:lang w:val="en-US"/>
        </w:rPr>
      </w:pPr>
      <w:hyperlink w:anchor="_Toc141133122" w:history="1">
        <w:r w:rsidR="00140CEB" w:rsidRPr="00140CEB">
          <w:rPr>
            <w:rStyle w:val="Hyperlink"/>
            <w:rFonts w:ascii="Times" w:hAnsi="Times"/>
            <w:noProof/>
            <w:sz w:val="24"/>
            <w:szCs w:val="24"/>
          </w:rPr>
          <w:t>5.3.2. Milliyetçi Hareket Partisi (MHP)</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_Toc141133122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283</w:t>
        </w:r>
        <w:r w:rsidR="00140CEB" w:rsidRPr="00140CEB">
          <w:rPr>
            <w:rFonts w:ascii="Times" w:hAnsi="Times"/>
            <w:noProof/>
            <w:webHidden/>
            <w:sz w:val="24"/>
            <w:szCs w:val="24"/>
          </w:rPr>
          <w:fldChar w:fldCharType="end"/>
        </w:r>
      </w:hyperlink>
    </w:p>
    <w:p w14:paraId="3DAFE2A6" w14:textId="45839B7E" w:rsidR="00140CEB" w:rsidRPr="00140CEB" w:rsidRDefault="002072EB">
      <w:pPr>
        <w:pStyle w:val="TOC3"/>
        <w:tabs>
          <w:tab w:val="right" w:leader="dot" w:pos="7927"/>
        </w:tabs>
        <w:rPr>
          <w:rFonts w:ascii="Times" w:eastAsiaTheme="minorEastAsia" w:hAnsi="Times"/>
          <w:noProof/>
          <w:sz w:val="24"/>
          <w:szCs w:val="24"/>
          <w:lang w:val="en-US"/>
        </w:rPr>
      </w:pPr>
      <w:hyperlink w:anchor="_Toc141133123" w:history="1">
        <w:r w:rsidR="00140CEB" w:rsidRPr="00140CEB">
          <w:rPr>
            <w:rStyle w:val="Hyperlink"/>
            <w:rFonts w:ascii="Times" w:hAnsi="Times"/>
            <w:noProof/>
            <w:sz w:val="24"/>
            <w:szCs w:val="24"/>
          </w:rPr>
          <w:t>5.3.3 Demokratik Toplum Partisi (DTP), Barış ve Demokrasi Partisi (BDP) ve Halkların Demokratik Partisi (HDP)</w:t>
        </w:r>
        <w:r w:rsidR="00140CEB" w:rsidRPr="00140CEB">
          <w:rPr>
            <w:rFonts w:ascii="Times" w:hAnsi="Times"/>
            <w:noProof/>
            <w:webHidden/>
            <w:sz w:val="24"/>
            <w:szCs w:val="24"/>
          </w:rPr>
          <w:tab/>
        </w:r>
        <w:r w:rsidR="00140CEB" w:rsidRPr="00140CEB">
          <w:rPr>
            <w:rFonts w:ascii="Times" w:hAnsi="Times"/>
            <w:noProof/>
            <w:webHidden/>
            <w:sz w:val="24"/>
            <w:szCs w:val="24"/>
          </w:rPr>
          <w:fldChar w:fldCharType="begin"/>
        </w:r>
        <w:r w:rsidR="00140CEB" w:rsidRPr="00140CEB">
          <w:rPr>
            <w:rFonts w:ascii="Times" w:hAnsi="Times"/>
            <w:noProof/>
            <w:webHidden/>
            <w:sz w:val="24"/>
            <w:szCs w:val="24"/>
          </w:rPr>
          <w:instrText xml:space="preserve"> PAGEREF _Toc141133123 \h </w:instrText>
        </w:r>
        <w:r w:rsidR="00140CEB" w:rsidRPr="00140CEB">
          <w:rPr>
            <w:rFonts w:ascii="Times" w:hAnsi="Times"/>
            <w:noProof/>
            <w:webHidden/>
            <w:sz w:val="24"/>
            <w:szCs w:val="24"/>
          </w:rPr>
        </w:r>
        <w:r w:rsidR="00140CEB" w:rsidRPr="00140CEB">
          <w:rPr>
            <w:rFonts w:ascii="Times" w:hAnsi="Times"/>
            <w:noProof/>
            <w:webHidden/>
            <w:sz w:val="24"/>
            <w:szCs w:val="24"/>
          </w:rPr>
          <w:fldChar w:fldCharType="separate"/>
        </w:r>
        <w:r w:rsidR="00AC31DE">
          <w:rPr>
            <w:rFonts w:ascii="Times" w:hAnsi="Times"/>
            <w:noProof/>
            <w:webHidden/>
            <w:sz w:val="24"/>
            <w:szCs w:val="24"/>
          </w:rPr>
          <w:t>291</w:t>
        </w:r>
        <w:r w:rsidR="00140CEB" w:rsidRPr="00140CEB">
          <w:rPr>
            <w:rFonts w:ascii="Times" w:hAnsi="Times"/>
            <w:noProof/>
            <w:webHidden/>
            <w:sz w:val="24"/>
            <w:szCs w:val="24"/>
          </w:rPr>
          <w:fldChar w:fldCharType="end"/>
        </w:r>
      </w:hyperlink>
    </w:p>
    <w:p w14:paraId="1F96CB74" w14:textId="27B42F3C" w:rsidR="00140CEB" w:rsidRPr="00140CEB" w:rsidRDefault="002072EB">
      <w:pPr>
        <w:pStyle w:val="TOC1"/>
        <w:rPr>
          <w:rFonts w:ascii="Times" w:eastAsiaTheme="minorEastAsia" w:hAnsi="Times" w:cstheme="minorBidi"/>
          <w:b w:val="0"/>
          <w:bCs w:val="0"/>
          <w:lang w:val="en-US"/>
        </w:rPr>
      </w:pPr>
      <w:hyperlink w:anchor="_Toc141133124" w:history="1">
        <w:r w:rsidR="00140CEB" w:rsidRPr="00140CEB">
          <w:rPr>
            <w:rStyle w:val="Hyperlink"/>
            <w:rFonts w:ascii="Times" w:hAnsi="Times"/>
          </w:rPr>
          <w:t>BÖLÜM 6</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_Toc141133124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297</w:t>
        </w:r>
        <w:r w:rsidR="00140CEB" w:rsidRPr="00140CEB">
          <w:rPr>
            <w:rFonts w:ascii="Times" w:hAnsi="Times"/>
            <w:webHidden/>
          </w:rPr>
          <w:fldChar w:fldCharType="end"/>
        </w:r>
      </w:hyperlink>
    </w:p>
    <w:p w14:paraId="7707F01D" w14:textId="7A74BD46" w:rsidR="00140CEB" w:rsidRPr="00140CEB" w:rsidRDefault="002072EB">
      <w:pPr>
        <w:pStyle w:val="TOC1"/>
        <w:rPr>
          <w:rFonts w:ascii="Times" w:eastAsiaTheme="minorEastAsia" w:hAnsi="Times" w:cstheme="minorBidi"/>
          <w:b w:val="0"/>
          <w:bCs w:val="0"/>
          <w:lang w:val="en-US"/>
        </w:rPr>
      </w:pPr>
      <w:hyperlink w:anchor="_Toc141133125" w:history="1">
        <w:r w:rsidR="00140CEB" w:rsidRPr="00140CEB">
          <w:rPr>
            <w:rStyle w:val="Hyperlink"/>
            <w:rFonts w:ascii="Times" w:eastAsia="Times New Roman" w:hAnsi="Times"/>
          </w:rPr>
          <w:t>SONUÇ</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_Toc141133125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297</w:t>
        </w:r>
        <w:r w:rsidR="00140CEB" w:rsidRPr="00140CEB">
          <w:rPr>
            <w:rFonts w:ascii="Times" w:hAnsi="Times"/>
            <w:webHidden/>
          </w:rPr>
          <w:fldChar w:fldCharType="end"/>
        </w:r>
      </w:hyperlink>
    </w:p>
    <w:p w14:paraId="0693739D" w14:textId="73545C11" w:rsidR="00140CEB" w:rsidRDefault="002072EB">
      <w:pPr>
        <w:pStyle w:val="TOC1"/>
        <w:rPr>
          <w:rFonts w:asciiTheme="minorHAnsi" w:eastAsiaTheme="minorEastAsia" w:hAnsiTheme="minorHAnsi" w:cstheme="minorBidi"/>
          <w:b w:val="0"/>
          <w:bCs w:val="0"/>
          <w:lang w:val="en-US"/>
        </w:rPr>
      </w:pPr>
      <w:hyperlink w:anchor="_Toc141133126" w:history="1">
        <w:r w:rsidR="00140CEB" w:rsidRPr="00140CEB">
          <w:rPr>
            <w:rStyle w:val="Hyperlink"/>
            <w:rFonts w:ascii="Times" w:hAnsi="Times"/>
          </w:rPr>
          <w:t>KAYNAKÇA</w:t>
        </w:r>
        <w:r w:rsidR="00140CEB" w:rsidRPr="00140CEB">
          <w:rPr>
            <w:rFonts w:ascii="Times" w:hAnsi="Times"/>
            <w:webHidden/>
          </w:rPr>
          <w:tab/>
        </w:r>
        <w:r w:rsidR="00140CEB" w:rsidRPr="00140CEB">
          <w:rPr>
            <w:rFonts w:ascii="Times" w:hAnsi="Times"/>
            <w:webHidden/>
          </w:rPr>
          <w:fldChar w:fldCharType="begin"/>
        </w:r>
        <w:r w:rsidR="00140CEB" w:rsidRPr="00140CEB">
          <w:rPr>
            <w:rFonts w:ascii="Times" w:hAnsi="Times"/>
            <w:webHidden/>
          </w:rPr>
          <w:instrText xml:space="preserve"> PAGEREF _Toc141133126 \h </w:instrText>
        </w:r>
        <w:r w:rsidR="00140CEB" w:rsidRPr="00140CEB">
          <w:rPr>
            <w:rFonts w:ascii="Times" w:hAnsi="Times"/>
            <w:webHidden/>
          </w:rPr>
        </w:r>
        <w:r w:rsidR="00140CEB" w:rsidRPr="00140CEB">
          <w:rPr>
            <w:rFonts w:ascii="Times" w:hAnsi="Times"/>
            <w:webHidden/>
          </w:rPr>
          <w:fldChar w:fldCharType="separate"/>
        </w:r>
        <w:r w:rsidR="00AC31DE">
          <w:rPr>
            <w:rFonts w:ascii="Times" w:hAnsi="Times"/>
            <w:webHidden/>
          </w:rPr>
          <w:t>310</w:t>
        </w:r>
        <w:r w:rsidR="00140CEB" w:rsidRPr="00140CEB">
          <w:rPr>
            <w:rFonts w:ascii="Times" w:hAnsi="Times"/>
            <w:webHidden/>
          </w:rPr>
          <w:fldChar w:fldCharType="end"/>
        </w:r>
      </w:hyperlink>
    </w:p>
    <w:p w14:paraId="6A18D61F" w14:textId="61C6F0E0" w:rsidR="006A073C" w:rsidRDefault="008631D1" w:rsidP="006A073C">
      <w:pPr>
        <w:spacing w:before="120" w:after="120" w:line="240" w:lineRule="auto"/>
        <w:jc w:val="both"/>
        <w:rPr>
          <w:rFonts w:ascii="Times" w:eastAsia="Calibri" w:hAnsi="Times" w:cs="Times"/>
          <w:b/>
          <w:bCs/>
          <w:sz w:val="24"/>
          <w:szCs w:val="24"/>
        </w:rPr>
        <w:sectPr w:rsidR="006A073C" w:rsidSect="006A073C">
          <w:pgSz w:w="11906" w:h="16838"/>
          <w:pgMar w:top="1418" w:right="1701" w:bottom="1418" w:left="2268" w:header="720" w:footer="720" w:gutter="0"/>
          <w:pgNumType w:fmt="lowerRoman"/>
          <w:cols w:space="720"/>
          <w:docGrid w:linePitch="360"/>
        </w:sectPr>
      </w:pPr>
      <w:r w:rsidRPr="00AB3B54">
        <w:rPr>
          <w:rFonts w:ascii="Times" w:eastAsia="Calibri" w:hAnsi="Times" w:cs="Times"/>
          <w:b/>
          <w:bCs/>
          <w:sz w:val="24"/>
          <w:szCs w:val="24"/>
        </w:rPr>
        <w:fldChar w:fldCharType="end"/>
      </w:r>
    </w:p>
    <w:p w14:paraId="104922F6" w14:textId="6F1A96D2" w:rsidR="002858AE" w:rsidRPr="00E97E0B" w:rsidRDefault="002858AE" w:rsidP="006A073C">
      <w:pPr>
        <w:spacing w:before="120" w:after="120" w:line="240" w:lineRule="auto"/>
        <w:jc w:val="both"/>
        <w:rPr>
          <w:rFonts w:ascii="Times New Roman" w:eastAsia="Times New Roman" w:hAnsi="Times New Roman" w:cs="Times New Roman"/>
          <w:b/>
          <w:color w:val="000000"/>
          <w:sz w:val="28"/>
          <w:szCs w:val="32"/>
        </w:rPr>
      </w:pPr>
      <w:r w:rsidRPr="00E97E0B">
        <w:rPr>
          <w:rFonts w:ascii="Times New Roman" w:eastAsia="Times New Roman" w:hAnsi="Times New Roman" w:cs="Times New Roman"/>
          <w:b/>
          <w:color w:val="000000"/>
          <w:sz w:val="28"/>
          <w:szCs w:val="32"/>
        </w:rPr>
        <w:lastRenderedPageBreak/>
        <w:t>KISALTMALAR LİSTESİ</w:t>
      </w:r>
    </w:p>
    <w:p w14:paraId="60CEF2DC" w14:textId="13BAF47F"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AB</w:t>
      </w:r>
      <w:r w:rsidR="00C51C5C" w:rsidRPr="00E97E0B">
        <w:rPr>
          <w:rFonts w:ascii="Times New Roman" w:eastAsia="Calibri" w:hAnsi="Times New Roman" w:cs="Times New Roman"/>
          <w:sz w:val="24"/>
          <w:szCs w:val="24"/>
          <w:lang w:val="en-US"/>
        </w:rPr>
        <w:tab/>
      </w:r>
      <w:r w:rsidR="00C51C5C" w:rsidRPr="00E97E0B">
        <w:rPr>
          <w:rFonts w:ascii="Times New Roman" w:eastAsia="Calibri" w:hAnsi="Times New Roman" w:cs="Times New Roman"/>
          <w:sz w:val="24"/>
          <w:szCs w:val="24"/>
          <w:lang w:val="en-US"/>
        </w:rPr>
        <w:tab/>
      </w:r>
      <w:r w:rsidR="00D43168" w:rsidRPr="00E97E0B">
        <w:rPr>
          <w:rFonts w:ascii="Times New Roman" w:eastAsia="Calibri" w:hAnsi="Times New Roman" w:cs="Times New Roman"/>
          <w:sz w:val="24"/>
          <w:szCs w:val="24"/>
          <w:lang w:val="en-US"/>
        </w:rPr>
        <w:tab/>
      </w:r>
      <w:r w:rsidR="00C51C5C"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ab/>
      </w:r>
      <w:r w:rsidR="00C51C5C" w:rsidRPr="00E97E0B">
        <w:rPr>
          <w:rFonts w:ascii="Times New Roman" w:eastAsia="Calibri" w:hAnsi="Times New Roman" w:cs="Times New Roman"/>
          <w:sz w:val="24"/>
          <w:szCs w:val="24"/>
          <w:lang w:val="en-US"/>
        </w:rPr>
        <w:t>Avrupa</w:t>
      </w:r>
      <w:r w:rsidRPr="00E97E0B">
        <w:rPr>
          <w:rFonts w:ascii="Times New Roman" w:eastAsia="Calibri" w:hAnsi="Times New Roman" w:cs="Times New Roman"/>
          <w:sz w:val="24"/>
          <w:szCs w:val="24"/>
          <w:lang w:val="en-US"/>
        </w:rPr>
        <w:t xml:space="preserve"> Birliği</w:t>
      </w:r>
    </w:p>
    <w:p w14:paraId="7E47C44D" w14:textId="54BA8CDE"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AET</w:t>
      </w:r>
      <w:r w:rsidR="00C51C5C" w:rsidRPr="00E97E0B">
        <w:rPr>
          <w:rFonts w:ascii="Times New Roman" w:eastAsia="Calibri" w:hAnsi="Times New Roman" w:cs="Times New Roman"/>
          <w:sz w:val="24"/>
          <w:szCs w:val="24"/>
          <w:lang w:val="en-US"/>
        </w:rPr>
        <w:tab/>
      </w:r>
      <w:r w:rsidR="00C51C5C" w:rsidRPr="00E97E0B">
        <w:rPr>
          <w:rFonts w:ascii="Times New Roman" w:eastAsia="Calibri" w:hAnsi="Times New Roman" w:cs="Times New Roman"/>
          <w:sz w:val="24"/>
          <w:szCs w:val="24"/>
          <w:lang w:val="en-US"/>
        </w:rPr>
        <w:tab/>
      </w:r>
      <w:r w:rsidR="00D43168" w:rsidRPr="00E97E0B">
        <w:rPr>
          <w:rFonts w:ascii="Times New Roman" w:eastAsia="Calibri" w:hAnsi="Times New Roman" w:cs="Times New Roman"/>
          <w:sz w:val="24"/>
          <w:szCs w:val="24"/>
          <w:lang w:val="en-US"/>
        </w:rPr>
        <w:tab/>
      </w:r>
      <w:r w:rsidR="00C51C5C"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Avrupa Ekonomik Topluluğu</w:t>
      </w:r>
    </w:p>
    <w:p w14:paraId="2242AAC5" w14:textId="40B0ABC5"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AKP</w:t>
      </w:r>
      <w:r w:rsidR="00C51C5C" w:rsidRPr="00E97E0B">
        <w:rPr>
          <w:rFonts w:ascii="Times New Roman" w:eastAsia="Calibri" w:hAnsi="Times New Roman" w:cs="Times New Roman"/>
          <w:sz w:val="24"/>
          <w:szCs w:val="24"/>
          <w:lang w:val="en-US"/>
        </w:rPr>
        <w:tab/>
      </w:r>
      <w:r w:rsidR="00C51C5C" w:rsidRPr="00E97E0B">
        <w:rPr>
          <w:rFonts w:ascii="Times New Roman" w:eastAsia="Calibri" w:hAnsi="Times New Roman" w:cs="Times New Roman"/>
          <w:sz w:val="24"/>
          <w:szCs w:val="24"/>
          <w:lang w:val="en-US"/>
        </w:rPr>
        <w:tab/>
      </w:r>
      <w:r w:rsidR="00D43168" w:rsidRPr="00E97E0B">
        <w:rPr>
          <w:rFonts w:ascii="Times New Roman" w:eastAsia="Calibri" w:hAnsi="Times New Roman" w:cs="Times New Roman"/>
          <w:sz w:val="24"/>
          <w:szCs w:val="24"/>
          <w:lang w:val="en-US"/>
        </w:rPr>
        <w:tab/>
      </w:r>
      <w:r w:rsidR="00C51C5C"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Adalet ve Kalkınma Partisi</w:t>
      </w:r>
    </w:p>
    <w:p w14:paraId="729E1783" w14:textId="19AA98B2"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AYM</w:t>
      </w:r>
      <w:r w:rsidR="00C51C5C" w:rsidRPr="00E97E0B">
        <w:rPr>
          <w:rFonts w:ascii="Times New Roman" w:eastAsia="Calibri" w:hAnsi="Times New Roman" w:cs="Times New Roman"/>
          <w:sz w:val="24"/>
          <w:szCs w:val="24"/>
          <w:lang w:val="en-US"/>
        </w:rPr>
        <w:tab/>
      </w:r>
      <w:r w:rsidR="00C51C5C" w:rsidRPr="00E97E0B">
        <w:rPr>
          <w:rFonts w:ascii="Times New Roman" w:eastAsia="Calibri" w:hAnsi="Times New Roman" w:cs="Times New Roman"/>
          <w:sz w:val="24"/>
          <w:szCs w:val="24"/>
          <w:lang w:val="en-US"/>
        </w:rPr>
        <w:tab/>
      </w:r>
      <w:r w:rsidR="00D43168" w:rsidRPr="00E97E0B">
        <w:rPr>
          <w:rFonts w:ascii="Times New Roman" w:eastAsia="Calibri" w:hAnsi="Times New Roman" w:cs="Times New Roman"/>
          <w:sz w:val="24"/>
          <w:szCs w:val="24"/>
          <w:lang w:val="en-US"/>
        </w:rPr>
        <w:tab/>
      </w:r>
      <w:r w:rsidR="00C51C5C"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Anayasa Mahkemesi</w:t>
      </w:r>
    </w:p>
    <w:p w14:paraId="35F8F586" w14:textId="3C1C02F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BDP </w:t>
      </w:r>
      <w:r w:rsidR="00C51C5C" w:rsidRPr="00E97E0B">
        <w:rPr>
          <w:rFonts w:ascii="Times New Roman" w:eastAsia="Calibri" w:hAnsi="Times New Roman" w:cs="Times New Roman"/>
          <w:sz w:val="24"/>
          <w:szCs w:val="24"/>
          <w:lang w:val="en-US"/>
        </w:rPr>
        <w:tab/>
      </w:r>
      <w:r w:rsidR="00C51C5C" w:rsidRPr="00E97E0B">
        <w:rPr>
          <w:rFonts w:ascii="Times New Roman" w:eastAsia="Calibri" w:hAnsi="Times New Roman" w:cs="Times New Roman"/>
          <w:sz w:val="24"/>
          <w:szCs w:val="24"/>
          <w:lang w:val="en-US"/>
        </w:rPr>
        <w:tab/>
      </w:r>
      <w:r w:rsidR="00D43168" w:rsidRPr="00E97E0B">
        <w:rPr>
          <w:rFonts w:ascii="Times New Roman" w:eastAsia="Calibri" w:hAnsi="Times New Roman" w:cs="Times New Roman"/>
          <w:sz w:val="24"/>
          <w:szCs w:val="24"/>
          <w:lang w:val="en-US"/>
        </w:rPr>
        <w:tab/>
      </w:r>
      <w:r w:rsidR="00C51C5C"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Barış ve Demokrasi Partisi</w:t>
      </w:r>
    </w:p>
    <w:p w14:paraId="50429691" w14:textId="77777777" w:rsidR="001964BF" w:rsidRPr="00E97E0B" w:rsidRDefault="002858AE" w:rsidP="00D43168">
      <w:pPr>
        <w:tabs>
          <w:tab w:val="left" w:pos="142"/>
        </w:tabs>
        <w:spacing w:after="0" w:line="360" w:lineRule="auto"/>
        <w:ind w:left="2124" w:right="4" w:hanging="21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CFCM</w:t>
      </w:r>
      <w:r w:rsidR="00C51C5C" w:rsidRPr="00E97E0B">
        <w:rPr>
          <w:rFonts w:ascii="Times New Roman" w:eastAsia="Calibri" w:hAnsi="Times New Roman" w:cs="Times New Roman"/>
          <w:sz w:val="24"/>
          <w:szCs w:val="24"/>
        </w:rPr>
        <w:tab/>
        <w:t>:</w:t>
      </w:r>
      <w:r w:rsidR="00D43168" w:rsidRPr="00E97E0B">
        <w:rPr>
          <w:rFonts w:ascii="Times New Roman" w:eastAsia="Calibri" w:hAnsi="Times New Roman" w:cs="Times New Roman"/>
          <w:sz w:val="24"/>
          <w:szCs w:val="24"/>
        </w:rPr>
        <w:t xml:space="preserve"> </w:t>
      </w:r>
      <w:r w:rsidR="00D43168"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 xml:space="preserve">Conseil Français du Culte Musulman </w:t>
      </w:r>
    </w:p>
    <w:p w14:paraId="2AEFF61D" w14:textId="70013AF8" w:rsidR="002858AE" w:rsidRPr="00E97E0B" w:rsidRDefault="001964BF" w:rsidP="001964BF">
      <w:pPr>
        <w:tabs>
          <w:tab w:val="left" w:pos="142"/>
        </w:tabs>
        <w:spacing w:after="0" w:line="360" w:lineRule="auto"/>
        <w:ind w:left="2124" w:right="4" w:hanging="21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r>
      <w:r w:rsidR="002858AE" w:rsidRPr="00E97E0B">
        <w:rPr>
          <w:rFonts w:ascii="Times New Roman" w:eastAsia="Calibri" w:hAnsi="Times New Roman" w:cs="Times New Roman"/>
          <w:sz w:val="24"/>
          <w:szCs w:val="24"/>
        </w:rPr>
        <w:t>(Fransa Müslüman İnancı Konseyi)</w:t>
      </w:r>
    </w:p>
    <w:p w14:paraId="52C1879B" w14:textId="5749ED00"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CHP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00D43168"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Cumhuriyet Halk Partisi</w:t>
      </w:r>
    </w:p>
    <w:p w14:paraId="657C33AD" w14:textId="267450BB"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CGP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00D43168"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 xml:space="preserve">  </w:t>
      </w:r>
      <w:r w:rsidR="00D43168"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Cumhuriyetçi Güven Partisi</w:t>
      </w:r>
    </w:p>
    <w:p w14:paraId="5D60F4EC" w14:textId="77777777" w:rsidR="00AB3B54" w:rsidRDefault="00AB3B54" w:rsidP="00AB3B54">
      <w:pPr>
        <w:tabs>
          <w:tab w:val="left" w:pos="0"/>
        </w:tabs>
        <w:spacing w:after="0" w:line="360" w:lineRule="auto"/>
        <w:ind w:left="2127" w:right="4" w:hanging="282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2858AE" w:rsidRPr="00E97E0B">
        <w:rPr>
          <w:rFonts w:ascii="Times New Roman" w:eastAsia="Calibri" w:hAnsi="Times New Roman" w:cs="Times New Roman"/>
          <w:sz w:val="24"/>
          <w:szCs w:val="24"/>
        </w:rPr>
        <w:t xml:space="preserve">CRIF </w:t>
      </w:r>
      <w:r>
        <w:rPr>
          <w:rFonts w:ascii="Times New Roman" w:eastAsia="Calibri" w:hAnsi="Times New Roman" w:cs="Times New Roman"/>
          <w:sz w:val="24"/>
          <w:szCs w:val="24"/>
        </w:rPr>
        <w:tab/>
      </w:r>
      <w:r w:rsidR="002858AE" w:rsidRPr="00E97E0B">
        <w:rPr>
          <w:rFonts w:ascii="Times New Roman" w:eastAsia="Calibri" w:hAnsi="Times New Roman" w:cs="Times New Roman"/>
          <w:sz w:val="24"/>
          <w:szCs w:val="24"/>
        </w:rPr>
        <w:t>:</w:t>
      </w:r>
      <w:r w:rsidR="002B6E6D" w:rsidRPr="00E97E0B">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002858AE" w:rsidRPr="00E97E0B">
        <w:rPr>
          <w:rFonts w:ascii="Times New Roman" w:eastAsia="Calibri" w:hAnsi="Times New Roman" w:cs="Times New Roman"/>
          <w:sz w:val="24"/>
          <w:szCs w:val="24"/>
        </w:rPr>
        <w:t xml:space="preserve">Conseil Représentatif des Institutions </w:t>
      </w:r>
      <w:r w:rsidRPr="00E97E0B">
        <w:rPr>
          <w:rFonts w:ascii="Times New Roman" w:eastAsia="Calibri" w:hAnsi="Times New Roman" w:cs="Times New Roman"/>
          <w:sz w:val="24"/>
          <w:szCs w:val="24"/>
        </w:rPr>
        <w:t xml:space="preserve">Juives de </w:t>
      </w:r>
    </w:p>
    <w:p w14:paraId="643FE3C5" w14:textId="561EA76E" w:rsidR="00AB3B54" w:rsidRDefault="00AB3B54" w:rsidP="00AB3B54">
      <w:pPr>
        <w:tabs>
          <w:tab w:val="left" w:pos="0"/>
        </w:tabs>
        <w:spacing w:after="0" w:line="360" w:lineRule="auto"/>
        <w:ind w:left="2127" w:right="4" w:hanging="282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E97E0B">
        <w:rPr>
          <w:rFonts w:ascii="Times New Roman" w:eastAsia="Calibri" w:hAnsi="Times New Roman" w:cs="Times New Roman"/>
          <w:sz w:val="24"/>
          <w:szCs w:val="24"/>
        </w:rPr>
        <w:t>France</w:t>
      </w:r>
    </w:p>
    <w:p w14:paraId="68D7630A" w14:textId="751D59AE" w:rsidR="002858AE" w:rsidRPr="00E97E0B" w:rsidRDefault="00AB3B54" w:rsidP="00AB3B54">
      <w:pPr>
        <w:tabs>
          <w:tab w:val="left" w:pos="142"/>
        </w:tabs>
        <w:spacing w:after="0" w:line="360" w:lineRule="auto"/>
        <w:ind w:left="2828" w:right="4" w:hanging="282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2858AE" w:rsidRPr="00E97E0B">
        <w:rPr>
          <w:rFonts w:ascii="Times New Roman" w:eastAsia="Calibri" w:hAnsi="Times New Roman" w:cs="Times New Roman"/>
          <w:sz w:val="24"/>
          <w:szCs w:val="24"/>
        </w:rPr>
        <w:t>(Fransa’daki Yahudi Kurumların Temsilcileri Konseyi)</w:t>
      </w:r>
    </w:p>
    <w:p w14:paraId="29FF65C1"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DEHAP </w:t>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w:t>
      </w:r>
      <w:r w:rsidRPr="00E97E0B">
        <w:rPr>
          <w:rFonts w:ascii="Times New Roman" w:eastAsia="Calibri" w:hAnsi="Times New Roman" w:cs="Times New Roman"/>
          <w:sz w:val="24"/>
          <w:szCs w:val="24"/>
        </w:rPr>
        <w:tab/>
        <w:t xml:space="preserve"> Demokratik Halk Partisi</w:t>
      </w:r>
    </w:p>
    <w:p w14:paraId="45EF5EE6"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DP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 xml:space="preserve">: </w:t>
      </w:r>
      <w:r w:rsidRPr="00E97E0B">
        <w:rPr>
          <w:rFonts w:ascii="Times New Roman" w:eastAsia="Calibri" w:hAnsi="Times New Roman" w:cs="Times New Roman"/>
          <w:sz w:val="24"/>
          <w:szCs w:val="24"/>
          <w:lang w:val="en-US"/>
        </w:rPr>
        <w:tab/>
        <w:t>Demokrat Parti</w:t>
      </w:r>
    </w:p>
    <w:p w14:paraId="0B1889D4"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DPS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 xml:space="preserve">: </w:t>
      </w:r>
      <w:r w:rsidRPr="00E97E0B">
        <w:rPr>
          <w:rFonts w:ascii="Times New Roman" w:eastAsia="Calibri" w:hAnsi="Times New Roman" w:cs="Times New Roman"/>
          <w:sz w:val="24"/>
          <w:szCs w:val="24"/>
          <w:lang w:val="en-US"/>
        </w:rPr>
        <w:tab/>
        <w:t>Demokratik Sol Parti</w:t>
      </w:r>
    </w:p>
    <w:p w14:paraId="476C4F8D"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DTP</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 xml:space="preserve">: </w:t>
      </w:r>
      <w:r w:rsidRPr="00E97E0B">
        <w:rPr>
          <w:rFonts w:ascii="Times New Roman" w:eastAsia="Calibri" w:hAnsi="Times New Roman" w:cs="Times New Roman"/>
          <w:sz w:val="24"/>
          <w:szCs w:val="24"/>
          <w:lang w:val="en-US"/>
        </w:rPr>
        <w:tab/>
        <w:t>Demokratik Toplum Partisi</w:t>
      </w:r>
    </w:p>
    <w:p w14:paraId="21349D48"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DYP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 xml:space="preserve">: </w:t>
      </w:r>
      <w:r w:rsidRPr="00E97E0B">
        <w:rPr>
          <w:rFonts w:ascii="Times New Roman" w:eastAsia="Calibri" w:hAnsi="Times New Roman" w:cs="Times New Roman"/>
          <w:sz w:val="24"/>
          <w:szCs w:val="24"/>
          <w:lang w:val="en-US"/>
        </w:rPr>
        <w:tab/>
        <w:t>Doğru Yol Partisi</w:t>
      </w:r>
    </w:p>
    <w:p w14:paraId="7A828A73"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EM </w:t>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 </w:t>
      </w:r>
      <w:r w:rsidRPr="00E97E0B">
        <w:rPr>
          <w:rFonts w:ascii="Times New Roman" w:eastAsia="Calibri" w:hAnsi="Times New Roman" w:cs="Times New Roman"/>
          <w:sz w:val="24"/>
          <w:szCs w:val="24"/>
        </w:rPr>
        <w:tab/>
        <w:t>En Marche (Yürüyüş Hareketi)</w:t>
      </w:r>
    </w:p>
    <w:p w14:paraId="7D065FED"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ESA </w:t>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 </w:t>
      </w:r>
      <w:r w:rsidRPr="00E97E0B">
        <w:rPr>
          <w:rFonts w:ascii="Times New Roman" w:eastAsia="Calibri" w:hAnsi="Times New Roman" w:cs="Times New Roman"/>
          <w:sz w:val="24"/>
          <w:szCs w:val="24"/>
        </w:rPr>
        <w:tab/>
        <w:t>Eleştirel Söylem Analizi</w:t>
      </w:r>
    </w:p>
    <w:p w14:paraId="789AF491"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FN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 xml:space="preserve">: </w:t>
      </w:r>
      <w:r w:rsidRPr="00E97E0B">
        <w:rPr>
          <w:rFonts w:ascii="Times New Roman" w:eastAsia="Calibri" w:hAnsi="Times New Roman" w:cs="Times New Roman"/>
          <w:sz w:val="24"/>
          <w:szCs w:val="24"/>
          <w:lang w:val="en-US"/>
        </w:rPr>
        <w:tab/>
        <w:t>Front National (Ulusal Cephe Partisi)</w:t>
      </w:r>
    </w:p>
    <w:p w14:paraId="6BA5470C"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FP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 xml:space="preserve">: </w:t>
      </w:r>
      <w:r w:rsidRPr="00E97E0B">
        <w:rPr>
          <w:rFonts w:ascii="Times New Roman" w:eastAsia="Calibri" w:hAnsi="Times New Roman" w:cs="Times New Roman"/>
          <w:sz w:val="24"/>
          <w:szCs w:val="24"/>
          <w:lang w:val="en-US"/>
        </w:rPr>
        <w:tab/>
        <w:t>Fazilet Partisi</w:t>
      </w:r>
    </w:p>
    <w:p w14:paraId="7670E9D3" w14:textId="77777777" w:rsidR="00D43168" w:rsidRPr="00E97E0B" w:rsidRDefault="002858AE" w:rsidP="00D43168">
      <w:pPr>
        <w:tabs>
          <w:tab w:val="left" w:pos="142"/>
        </w:tabs>
        <w:spacing w:after="0" w:line="360" w:lineRule="auto"/>
        <w:ind w:left="1440" w:right="4" w:hanging="1440"/>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GPRF</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 xml:space="preserve">: </w:t>
      </w:r>
      <w:r w:rsidRPr="00E97E0B">
        <w:rPr>
          <w:rFonts w:ascii="Times New Roman" w:eastAsia="Calibri" w:hAnsi="Times New Roman" w:cs="Times New Roman"/>
          <w:sz w:val="24"/>
          <w:szCs w:val="24"/>
          <w:lang w:val="en-US"/>
        </w:rPr>
        <w:tab/>
        <w:t xml:space="preserve">Gouvernement Provisoire de la République Française       </w:t>
      </w:r>
    </w:p>
    <w:p w14:paraId="3EA3989C" w14:textId="32BDB2C3" w:rsidR="002858AE" w:rsidRPr="00E97E0B" w:rsidRDefault="00D43168" w:rsidP="00D43168">
      <w:pPr>
        <w:tabs>
          <w:tab w:val="left" w:pos="142"/>
        </w:tabs>
        <w:spacing w:after="0" w:line="360" w:lineRule="auto"/>
        <w:ind w:left="1440" w:right="4" w:hanging="1440"/>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002858AE" w:rsidRPr="00E97E0B">
        <w:rPr>
          <w:rFonts w:ascii="Times New Roman" w:eastAsia="Calibri" w:hAnsi="Times New Roman" w:cs="Times New Roman"/>
          <w:sz w:val="24"/>
          <w:szCs w:val="24"/>
          <w:lang w:val="en-US"/>
        </w:rPr>
        <w:t>(Fransa Cumhuriyeti Geçici Hükümeti)</w:t>
      </w:r>
    </w:p>
    <w:p w14:paraId="25227F40"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HDP</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 xml:space="preserve">: </w:t>
      </w:r>
      <w:r w:rsidRPr="00E97E0B">
        <w:rPr>
          <w:rFonts w:ascii="Times New Roman" w:eastAsia="Calibri" w:hAnsi="Times New Roman" w:cs="Times New Roman"/>
          <w:sz w:val="24"/>
          <w:szCs w:val="24"/>
          <w:lang w:val="en-US"/>
        </w:rPr>
        <w:tab/>
        <w:t>Halkların Demokratik Partisi</w:t>
      </w:r>
    </w:p>
    <w:p w14:paraId="37788747"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HP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 xml:space="preserve">: </w:t>
      </w:r>
      <w:r w:rsidRPr="00E97E0B">
        <w:rPr>
          <w:rFonts w:ascii="Times New Roman" w:eastAsia="Calibri" w:hAnsi="Times New Roman" w:cs="Times New Roman"/>
          <w:sz w:val="24"/>
          <w:szCs w:val="24"/>
          <w:lang w:val="en-US"/>
        </w:rPr>
        <w:tab/>
        <w:t xml:space="preserve">Halkçı Parti </w:t>
      </w:r>
    </w:p>
    <w:p w14:paraId="5A410BA9" w14:textId="77777777" w:rsidR="00AB3B54"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IMF</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International Mone</w:t>
      </w:r>
      <w:r w:rsidR="00087CC4" w:rsidRPr="00E97E0B">
        <w:rPr>
          <w:rFonts w:ascii="Times New Roman" w:eastAsia="Calibri" w:hAnsi="Times New Roman" w:cs="Times New Roman"/>
          <w:sz w:val="24"/>
          <w:szCs w:val="24"/>
          <w:lang w:val="en-US"/>
        </w:rPr>
        <w:t>tary</w:t>
      </w:r>
      <w:r w:rsidRPr="00E97E0B">
        <w:rPr>
          <w:rFonts w:ascii="Times New Roman" w:eastAsia="Calibri" w:hAnsi="Times New Roman" w:cs="Times New Roman"/>
          <w:sz w:val="24"/>
          <w:szCs w:val="24"/>
          <w:lang w:val="en-US"/>
        </w:rPr>
        <w:t xml:space="preserve"> F</w:t>
      </w:r>
      <w:r w:rsidR="00F85E5F" w:rsidRPr="00E97E0B">
        <w:rPr>
          <w:rFonts w:ascii="Times New Roman" w:eastAsia="Calibri" w:hAnsi="Times New Roman" w:cs="Times New Roman"/>
          <w:sz w:val="24"/>
          <w:szCs w:val="24"/>
          <w:lang w:val="en-US"/>
        </w:rPr>
        <w:t>und</w:t>
      </w:r>
      <w:r w:rsidRPr="00E97E0B">
        <w:rPr>
          <w:rFonts w:ascii="Times New Roman" w:eastAsia="Calibri" w:hAnsi="Times New Roman" w:cs="Times New Roman"/>
          <w:sz w:val="24"/>
          <w:szCs w:val="24"/>
          <w:lang w:val="en-US"/>
        </w:rPr>
        <w:t xml:space="preserve"> </w:t>
      </w:r>
    </w:p>
    <w:p w14:paraId="25EA7E25" w14:textId="4305E4F2" w:rsidR="002858AE" w:rsidRPr="00E97E0B" w:rsidRDefault="00AB3B54" w:rsidP="00D43168">
      <w:pPr>
        <w:tabs>
          <w:tab w:val="left" w:pos="142"/>
        </w:tabs>
        <w:spacing w:after="0" w:line="360" w:lineRule="auto"/>
        <w:ind w:right="4"/>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sidR="002858AE" w:rsidRPr="00E97E0B">
        <w:rPr>
          <w:rFonts w:ascii="Times New Roman" w:eastAsia="Calibri" w:hAnsi="Times New Roman" w:cs="Times New Roman"/>
          <w:sz w:val="24"/>
          <w:szCs w:val="24"/>
          <w:lang w:val="en-US"/>
        </w:rPr>
        <w:t>(Uluslararası Para Fonu)</w:t>
      </w:r>
    </w:p>
    <w:p w14:paraId="6506C3F7" w14:textId="796A3549" w:rsidR="00D43168"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INSEE</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 xml:space="preserve">Institut National de la Statistique et des Études </w:t>
      </w:r>
    </w:p>
    <w:p w14:paraId="5C506EEF" w14:textId="77777777" w:rsidR="00140CEB" w:rsidRDefault="00D43168"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002858AE" w:rsidRPr="00E97E0B">
        <w:rPr>
          <w:rFonts w:ascii="Times New Roman" w:eastAsia="Calibri" w:hAnsi="Times New Roman" w:cs="Times New Roman"/>
          <w:sz w:val="24"/>
          <w:szCs w:val="24"/>
          <w:lang w:val="en-US"/>
        </w:rPr>
        <w:t xml:space="preserve">économique </w:t>
      </w:r>
    </w:p>
    <w:p w14:paraId="4B147E42" w14:textId="77777777" w:rsidR="00140CEB" w:rsidRDefault="00140CEB" w:rsidP="00D43168">
      <w:pPr>
        <w:tabs>
          <w:tab w:val="left" w:pos="142"/>
        </w:tabs>
        <w:spacing w:after="0" w:line="360" w:lineRule="auto"/>
        <w:ind w:right="4"/>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sidR="002858AE" w:rsidRPr="00E97E0B">
        <w:rPr>
          <w:rFonts w:ascii="Times New Roman" w:eastAsia="Calibri" w:hAnsi="Times New Roman" w:cs="Times New Roman"/>
          <w:sz w:val="24"/>
          <w:szCs w:val="24"/>
          <w:lang w:val="en-US"/>
        </w:rPr>
        <w:t xml:space="preserve">(Ulusal İstatistik ve Ekonomik Araştırmalar </w:t>
      </w:r>
    </w:p>
    <w:p w14:paraId="2FF612A1" w14:textId="784878BC" w:rsidR="002858AE" w:rsidRPr="00E97E0B" w:rsidRDefault="00140CEB" w:rsidP="00D43168">
      <w:pPr>
        <w:tabs>
          <w:tab w:val="left" w:pos="142"/>
        </w:tabs>
        <w:spacing w:after="0" w:line="360" w:lineRule="auto"/>
        <w:ind w:right="4"/>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sidR="002858AE" w:rsidRPr="00E97E0B">
        <w:rPr>
          <w:rFonts w:ascii="Times New Roman" w:eastAsia="Calibri" w:hAnsi="Times New Roman" w:cs="Times New Roman"/>
          <w:sz w:val="24"/>
          <w:szCs w:val="24"/>
          <w:lang w:val="en-US"/>
        </w:rPr>
        <w:t>Enstitüsü)</w:t>
      </w:r>
    </w:p>
    <w:p w14:paraId="78AE52EC" w14:textId="77777777" w:rsidR="001964BF" w:rsidRPr="00E97E0B" w:rsidRDefault="002858AE" w:rsidP="00D43168">
      <w:pPr>
        <w:tabs>
          <w:tab w:val="left" w:pos="142"/>
        </w:tabs>
        <w:spacing w:after="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LREM</w:t>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w:t>
      </w:r>
      <w:r w:rsidRPr="00E97E0B">
        <w:rPr>
          <w:rFonts w:ascii="Times New Roman" w:eastAsia="Calibri" w:hAnsi="Times New Roman" w:cs="Times New Roman"/>
          <w:sz w:val="24"/>
          <w:szCs w:val="24"/>
        </w:rPr>
        <w:tab/>
        <w:t xml:space="preserve">La République en Marche </w:t>
      </w:r>
    </w:p>
    <w:p w14:paraId="0E358561" w14:textId="1559D08E" w:rsidR="002858AE" w:rsidRPr="00E97E0B" w:rsidRDefault="001964BF" w:rsidP="00D43168">
      <w:pPr>
        <w:tabs>
          <w:tab w:val="left" w:pos="142"/>
        </w:tabs>
        <w:spacing w:after="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r>
      <w:r w:rsidR="002858AE" w:rsidRPr="00E97E0B">
        <w:rPr>
          <w:rFonts w:ascii="Times New Roman" w:eastAsia="Calibri" w:hAnsi="Times New Roman" w:cs="Times New Roman"/>
          <w:sz w:val="24"/>
          <w:szCs w:val="24"/>
        </w:rPr>
        <w:t>(Cumhuriyet Yürüyüşü Hareketi)</w:t>
      </w:r>
    </w:p>
    <w:p w14:paraId="364A9A61"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MDP</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Milliyetçi Demokrasi Partisi</w:t>
      </w:r>
    </w:p>
    <w:p w14:paraId="6711414B"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MHP</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Milliyetçi Hareket Partisi</w:t>
      </w:r>
    </w:p>
    <w:p w14:paraId="1C02D415"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MGK</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 xml:space="preserve">Milli Güvenlik Kurulu </w:t>
      </w:r>
    </w:p>
    <w:p w14:paraId="338EEA71"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MSP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Milli Selamet Partisi</w:t>
      </w:r>
    </w:p>
    <w:p w14:paraId="7F78A9E8" w14:textId="77777777" w:rsidR="00AB3B54"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NATO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North Atlantic Treaty Organization</w:t>
      </w:r>
    </w:p>
    <w:p w14:paraId="0CC4CF77" w14:textId="680051D3" w:rsidR="002858AE" w:rsidRPr="00E97E0B" w:rsidRDefault="00AB3B54" w:rsidP="00D43168">
      <w:pPr>
        <w:tabs>
          <w:tab w:val="left" w:pos="142"/>
        </w:tabs>
        <w:spacing w:after="0" w:line="360" w:lineRule="auto"/>
        <w:ind w:right="4"/>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sidR="002858AE" w:rsidRPr="00E97E0B">
        <w:rPr>
          <w:rFonts w:ascii="Times New Roman" w:eastAsia="Calibri" w:hAnsi="Times New Roman" w:cs="Times New Roman"/>
          <w:sz w:val="24"/>
          <w:szCs w:val="24"/>
          <w:lang w:val="en-US"/>
        </w:rPr>
        <w:t>(Kuzey Atlantik Antlaşması Örgütü)</w:t>
      </w:r>
    </w:p>
    <w:p w14:paraId="5B9F46A5" w14:textId="77777777" w:rsidR="00AB3B54"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PCF</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 xml:space="preserve">Parti Communiste Français </w:t>
      </w:r>
    </w:p>
    <w:p w14:paraId="7557B69C" w14:textId="30807930" w:rsidR="002858AE" w:rsidRPr="00E97E0B" w:rsidRDefault="00AB3B54" w:rsidP="00D43168">
      <w:pPr>
        <w:tabs>
          <w:tab w:val="left" w:pos="142"/>
        </w:tabs>
        <w:spacing w:after="0" w:line="360" w:lineRule="auto"/>
        <w:ind w:right="4"/>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sidR="002858AE" w:rsidRPr="00E97E0B">
        <w:rPr>
          <w:rFonts w:ascii="Times New Roman" w:eastAsia="Calibri" w:hAnsi="Times New Roman" w:cs="Times New Roman"/>
          <w:sz w:val="24"/>
          <w:szCs w:val="24"/>
          <w:lang w:val="en-US"/>
        </w:rPr>
        <w:t>(Fransız Komünist Partisi)</w:t>
      </w:r>
    </w:p>
    <w:p w14:paraId="41056938"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PG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Parti de Gauche (Sol Parti)</w:t>
      </w:r>
    </w:p>
    <w:p w14:paraId="07A26E93"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PKK</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(Kürdistan İşçi Partisi)</w:t>
      </w:r>
    </w:p>
    <w:p w14:paraId="7D78C016"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PS</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Parti Socialiste (Sosyalist Parti)</w:t>
      </w:r>
    </w:p>
    <w:p w14:paraId="1C6DFF29"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RE</w:t>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w:t>
      </w:r>
      <w:r w:rsidRPr="00E97E0B">
        <w:rPr>
          <w:rFonts w:ascii="Times New Roman" w:eastAsia="Calibri" w:hAnsi="Times New Roman" w:cs="Times New Roman"/>
          <w:sz w:val="24"/>
          <w:szCs w:val="24"/>
        </w:rPr>
        <w:tab/>
        <w:t>Renaissance (Rönesans Partisi)</w:t>
      </w:r>
    </w:p>
    <w:p w14:paraId="42E2826A"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RN </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Rassemblement (National Ulusal) Birlik Partisi</w:t>
      </w:r>
    </w:p>
    <w:p w14:paraId="06B1F108"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RSA</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 xml:space="preserve">Revenu de solidarité active (Etkin Dayanışma Geliri) </w:t>
      </w:r>
    </w:p>
    <w:p w14:paraId="165BEF76" w14:textId="77777777" w:rsidR="001964BF" w:rsidRPr="00E97E0B" w:rsidRDefault="002858AE" w:rsidP="00D43168">
      <w:pPr>
        <w:tabs>
          <w:tab w:val="left" w:pos="142"/>
        </w:tabs>
        <w:spacing w:after="0" w:line="360" w:lineRule="auto"/>
        <w:ind w:right="4"/>
        <w:jc w:val="both"/>
        <w:rPr>
          <w:rFonts w:ascii="Times New Roman" w:eastAsia="Times New Roman" w:hAnsi="Times New Roman" w:cs="Times New Roman"/>
          <w:sz w:val="24"/>
          <w:szCs w:val="24"/>
          <w:lang w:val="en-US"/>
        </w:rPr>
      </w:pPr>
      <w:r w:rsidRPr="00E97E0B">
        <w:rPr>
          <w:rFonts w:ascii="Times New Roman" w:eastAsia="Times New Roman" w:hAnsi="Times New Roman" w:cs="Times New Roman"/>
          <w:sz w:val="24"/>
          <w:szCs w:val="24"/>
          <w:lang w:val="en-US"/>
        </w:rPr>
        <w:t>RPF</w:t>
      </w:r>
      <w:r w:rsidRPr="00E97E0B">
        <w:rPr>
          <w:rFonts w:ascii="Times New Roman" w:eastAsia="Times New Roman" w:hAnsi="Times New Roman" w:cs="Times New Roman"/>
          <w:sz w:val="24"/>
          <w:szCs w:val="24"/>
          <w:lang w:val="en-US"/>
        </w:rPr>
        <w:tab/>
      </w:r>
      <w:r w:rsidRPr="00E97E0B">
        <w:rPr>
          <w:rFonts w:ascii="Times New Roman" w:eastAsia="Times New Roman" w:hAnsi="Times New Roman" w:cs="Times New Roman"/>
          <w:sz w:val="24"/>
          <w:szCs w:val="24"/>
          <w:lang w:val="en-US"/>
        </w:rPr>
        <w:tab/>
      </w:r>
      <w:r w:rsidRPr="00E97E0B">
        <w:rPr>
          <w:rFonts w:ascii="Times New Roman" w:eastAsia="Times New Roman" w:hAnsi="Times New Roman" w:cs="Times New Roman"/>
          <w:sz w:val="24"/>
          <w:szCs w:val="24"/>
          <w:lang w:val="en-US"/>
        </w:rPr>
        <w:tab/>
        <w:t>:</w:t>
      </w:r>
      <w:r w:rsidRPr="00E97E0B">
        <w:rPr>
          <w:rFonts w:ascii="Times New Roman" w:eastAsia="Times New Roman" w:hAnsi="Times New Roman" w:cs="Times New Roman"/>
          <w:sz w:val="24"/>
          <w:szCs w:val="24"/>
          <w:lang w:val="en-US"/>
        </w:rPr>
        <w:tab/>
        <w:t xml:space="preserve">Rassemblement du peuple français </w:t>
      </w:r>
    </w:p>
    <w:p w14:paraId="73786F2F" w14:textId="1CE36B63" w:rsidR="002858AE" w:rsidRPr="00E97E0B" w:rsidRDefault="001964BF" w:rsidP="00D43168">
      <w:pPr>
        <w:tabs>
          <w:tab w:val="left" w:pos="142"/>
        </w:tabs>
        <w:spacing w:after="0" w:line="360" w:lineRule="auto"/>
        <w:ind w:right="4"/>
        <w:jc w:val="both"/>
        <w:rPr>
          <w:rFonts w:ascii="Times New Roman" w:eastAsia="Times New Roman" w:hAnsi="Times New Roman" w:cs="Times New Roman"/>
          <w:sz w:val="24"/>
          <w:szCs w:val="24"/>
          <w:lang w:val="en-US"/>
        </w:rPr>
      </w:pPr>
      <w:r w:rsidRPr="00E97E0B">
        <w:rPr>
          <w:rFonts w:ascii="Times New Roman" w:eastAsia="Times New Roman" w:hAnsi="Times New Roman" w:cs="Times New Roman"/>
          <w:sz w:val="24"/>
          <w:szCs w:val="24"/>
          <w:lang w:val="en-US"/>
        </w:rPr>
        <w:tab/>
      </w:r>
      <w:r w:rsidRPr="00E97E0B">
        <w:rPr>
          <w:rFonts w:ascii="Times New Roman" w:eastAsia="Times New Roman" w:hAnsi="Times New Roman" w:cs="Times New Roman"/>
          <w:sz w:val="24"/>
          <w:szCs w:val="24"/>
          <w:lang w:val="en-US"/>
        </w:rPr>
        <w:tab/>
      </w:r>
      <w:r w:rsidRPr="00E97E0B">
        <w:rPr>
          <w:rFonts w:ascii="Times New Roman" w:eastAsia="Times New Roman" w:hAnsi="Times New Roman" w:cs="Times New Roman"/>
          <w:sz w:val="24"/>
          <w:szCs w:val="24"/>
          <w:lang w:val="en-US"/>
        </w:rPr>
        <w:tab/>
      </w:r>
      <w:r w:rsidRPr="00E97E0B">
        <w:rPr>
          <w:rFonts w:ascii="Times New Roman" w:eastAsia="Times New Roman" w:hAnsi="Times New Roman" w:cs="Times New Roman"/>
          <w:sz w:val="24"/>
          <w:szCs w:val="24"/>
          <w:lang w:val="en-US"/>
        </w:rPr>
        <w:tab/>
      </w:r>
      <w:r w:rsidRPr="00E97E0B">
        <w:rPr>
          <w:rFonts w:ascii="Times New Roman" w:eastAsia="Times New Roman" w:hAnsi="Times New Roman" w:cs="Times New Roman"/>
          <w:sz w:val="24"/>
          <w:szCs w:val="24"/>
          <w:lang w:val="en-US"/>
        </w:rPr>
        <w:tab/>
      </w:r>
      <w:r w:rsidR="002858AE" w:rsidRPr="00E97E0B">
        <w:rPr>
          <w:rFonts w:ascii="Times New Roman" w:eastAsia="Times New Roman" w:hAnsi="Times New Roman" w:cs="Times New Roman"/>
          <w:sz w:val="24"/>
          <w:szCs w:val="24"/>
          <w:lang w:val="en-US"/>
        </w:rPr>
        <w:t>(Fransız Halkı için Birlik)</w:t>
      </w:r>
    </w:p>
    <w:p w14:paraId="02F954BD" w14:textId="77777777" w:rsidR="001964BF"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SFIO</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 xml:space="preserve">Section Française de l’Internationale Ouvrière </w:t>
      </w:r>
    </w:p>
    <w:p w14:paraId="6E4E4F83" w14:textId="44F22EDF" w:rsidR="002858AE" w:rsidRPr="00E97E0B" w:rsidRDefault="001964BF"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002858AE" w:rsidRPr="00E97E0B">
        <w:rPr>
          <w:rFonts w:ascii="Times New Roman" w:eastAsia="Calibri" w:hAnsi="Times New Roman" w:cs="Times New Roman"/>
          <w:sz w:val="24"/>
          <w:szCs w:val="24"/>
          <w:lang w:val="en-US"/>
        </w:rPr>
        <w:t>(Fransız</w:t>
      </w:r>
      <w:r w:rsidR="009C07B8" w:rsidRPr="00E97E0B">
        <w:rPr>
          <w:rFonts w:ascii="Times New Roman" w:eastAsia="Calibri" w:hAnsi="Times New Roman" w:cs="Times New Roman"/>
          <w:sz w:val="24"/>
          <w:szCs w:val="24"/>
          <w:lang w:val="en-US"/>
        </w:rPr>
        <w:t xml:space="preserve"> </w:t>
      </w:r>
      <w:r w:rsidR="002858AE" w:rsidRPr="00E97E0B">
        <w:rPr>
          <w:rFonts w:ascii="Times New Roman" w:eastAsia="Calibri" w:hAnsi="Times New Roman" w:cs="Times New Roman"/>
          <w:sz w:val="24"/>
          <w:szCs w:val="24"/>
          <w:lang w:val="en-US"/>
        </w:rPr>
        <w:t>İşçi Enternasyonal Seksiyonu)</w:t>
      </w:r>
    </w:p>
    <w:p w14:paraId="4D4D5517"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SHP</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Sosyal Demokrat Halk Partisi</w:t>
      </w:r>
    </w:p>
    <w:p w14:paraId="2AC640FA"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SP</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Saadet Partisi</w:t>
      </w:r>
    </w:p>
    <w:p w14:paraId="12B786B2" w14:textId="77777777" w:rsidR="002858AE" w:rsidRPr="00E97E0B"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SSCB</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Sovyet Sosyalist Cumhuriyetler Birliği</w:t>
      </w:r>
    </w:p>
    <w:p w14:paraId="7F7B80EB" w14:textId="77777777" w:rsidR="00AB3B54" w:rsidRDefault="002858AE" w:rsidP="00D43168">
      <w:pPr>
        <w:tabs>
          <w:tab w:val="left" w:pos="142"/>
        </w:tabs>
        <w:spacing w:after="0" w:line="360" w:lineRule="auto"/>
        <w:ind w:right="4"/>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UMP</w:t>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ab/>
        <w:t>:</w:t>
      </w:r>
      <w:r w:rsidRPr="00E97E0B">
        <w:rPr>
          <w:rFonts w:ascii="Times New Roman" w:eastAsia="Calibri" w:hAnsi="Times New Roman" w:cs="Times New Roman"/>
          <w:sz w:val="24"/>
          <w:szCs w:val="24"/>
          <w:lang w:val="en-US"/>
        </w:rPr>
        <w:tab/>
        <w:t xml:space="preserve">Union pour un mouvement populaire </w:t>
      </w:r>
    </w:p>
    <w:p w14:paraId="25B72645" w14:textId="3D167DC7" w:rsidR="002858AE" w:rsidRPr="00E97E0B" w:rsidRDefault="00AB3B54" w:rsidP="00D43168">
      <w:pPr>
        <w:tabs>
          <w:tab w:val="left" w:pos="142"/>
        </w:tabs>
        <w:spacing w:after="0" w:line="360" w:lineRule="auto"/>
        <w:ind w:right="4"/>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w:t>
      </w:r>
      <w:r w:rsidR="002858AE" w:rsidRPr="00E97E0B">
        <w:rPr>
          <w:rFonts w:ascii="Times New Roman" w:eastAsia="Calibri" w:hAnsi="Times New Roman" w:cs="Times New Roman"/>
          <w:sz w:val="24"/>
          <w:szCs w:val="24"/>
          <w:lang w:val="en-US"/>
        </w:rPr>
        <w:t>Halk Hareketi için Birlik Partisi)</w:t>
      </w:r>
    </w:p>
    <w:p w14:paraId="7E43E31B" w14:textId="77777777" w:rsidR="002858AE" w:rsidRPr="00E97E0B" w:rsidRDefault="002858AE" w:rsidP="002858AE">
      <w:pPr>
        <w:tabs>
          <w:tab w:val="left" w:pos="851"/>
        </w:tabs>
        <w:spacing w:before="120" w:after="120" w:line="360" w:lineRule="auto"/>
        <w:ind w:left="2138" w:right="1418"/>
        <w:jc w:val="both"/>
        <w:rPr>
          <w:rFonts w:ascii="Times New Roman" w:eastAsia="Calibri" w:hAnsi="Times New Roman" w:cs="Times New Roman"/>
          <w:b/>
          <w:bCs/>
          <w:color w:val="000000"/>
          <w:sz w:val="24"/>
          <w:szCs w:val="24"/>
        </w:rPr>
        <w:sectPr w:rsidR="002858AE" w:rsidRPr="00E97E0B" w:rsidSect="006A073C">
          <w:pgSz w:w="11906" w:h="16838"/>
          <w:pgMar w:top="1418" w:right="1701" w:bottom="1418" w:left="2268" w:header="720" w:footer="720" w:gutter="0"/>
          <w:pgNumType w:fmt="lowerRoman"/>
          <w:cols w:space="720"/>
          <w:docGrid w:linePitch="360"/>
        </w:sectPr>
      </w:pPr>
    </w:p>
    <w:p w14:paraId="0D6C6BF0" w14:textId="77777777" w:rsidR="002858AE" w:rsidRPr="00E97E0B" w:rsidRDefault="002858AE" w:rsidP="00ED4B64">
      <w:pPr>
        <w:keepNext/>
        <w:keepLines/>
        <w:spacing w:before="1800" w:after="360" w:line="360" w:lineRule="auto"/>
        <w:jc w:val="center"/>
        <w:outlineLvl w:val="0"/>
        <w:rPr>
          <w:rFonts w:ascii="Times New Roman" w:eastAsia="Times New Roman" w:hAnsi="Times New Roman" w:cs="Times New Roman"/>
          <w:b/>
          <w:color w:val="000000"/>
          <w:sz w:val="28"/>
          <w:szCs w:val="32"/>
        </w:rPr>
      </w:pPr>
      <w:bookmarkStart w:id="5" w:name="_Toc141133049"/>
      <w:r w:rsidRPr="00E97E0B">
        <w:rPr>
          <w:rFonts w:ascii="Times New Roman" w:eastAsia="Times New Roman" w:hAnsi="Times New Roman" w:cs="Times New Roman"/>
          <w:b/>
          <w:color w:val="000000"/>
          <w:sz w:val="28"/>
          <w:szCs w:val="32"/>
        </w:rPr>
        <w:lastRenderedPageBreak/>
        <w:t>BÖLÜM 1</w:t>
      </w:r>
      <w:bookmarkEnd w:id="5"/>
    </w:p>
    <w:p w14:paraId="137583AC" w14:textId="77777777" w:rsidR="002858AE" w:rsidRPr="00E97E0B" w:rsidRDefault="002858AE" w:rsidP="00ED4B64">
      <w:pPr>
        <w:keepNext/>
        <w:keepLines/>
        <w:spacing w:before="360" w:after="480" w:line="360" w:lineRule="auto"/>
        <w:jc w:val="center"/>
        <w:outlineLvl w:val="0"/>
        <w:rPr>
          <w:rFonts w:ascii="Times New Roman" w:eastAsia="Times New Roman" w:hAnsi="Times New Roman" w:cs="Times New Roman"/>
          <w:b/>
          <w:color w:val="000000"/>
          <w:sz w:val="28"/>
          <w:szCs w:val="32"/>
        </w:rPr>
      </w:pPr>
      <w:bookmarkStart w:id="6" w:name="_Toc141133050"/>
      <w:r w:rsidRPr="00E97E0B">
        <w:rPr>
          <w:rFonts w:ascii="Times New Roman" w:eastAsia="Times New Roman" w:hAnsi="Times New Roman" w:cs="Times New Roman"/>
          <w:b/>
          <w:color w:val="000000"/>
          <w:sz w:val="28"/>
          <w:szCs w:val="32"/>
        </w:rPr>
        <w:t>GİRİŞ</w:t>
      </w:r>
      <w:bookmarkEnd w:id="6"/>
    </w:p>
    <w:p w14:paraId="1E491AC7" w14:textId="382DCABA"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Bu araştırma, Türkiye ve Fransa</w:t>
      </w:r>
      <w:r w:rsidR="006A7E0A" w:rsidRPr="00E97E0B">
        <w:rPr>
          <w:rFonts w:ascii="Times" w:eastAsia="Calibri" w:hAnsi="Times" w:cs="Times New Roman"/>
          <w:sz w:val="24"/>
          <w:szCs w:val="24"/>
        </w:rPr>
        <w:t>’nın</w:t>
      </w:r>
      <w:r w:rsidRPr="00E97E0B">
        <w:rPr>
          <w:rFonts w:ascii="Times" w:eastAsia="Calibri" w:hAnsi="Times" w:cs="Times New Roman"/>
          <w:sz w:val="24"/>
          <w:szCs w:val="24"/>
        </w:rPr>
        <w:t>, siyasal hayatlarında ve gündem</w:t>
      </w:r>
      <w:r w:rsidR="006A7E0A" w:rsidRPr="00E97E0B">
        <w:rPr>
          <w:rFonts w:ascii="Times" w:eastAsia="Calibri" w:hAnsi="Times" w:cs="Times New Roman"/>
          <w:sz w:val="24"/>
          <w:szCs w:val="24"/>
        </w:rPr>
        <w:t>lerin</w:t>
      </w:r>
      <w:r w:rsidRPr="00E97E0B">
        <w:rPr>
          <w:rFonts w:ascii="Times" w:eastAsia="Calibri" w:hAnsi="Times" w:cs="Times New Roman"/>
          <w:sz w:val="24"/>
          <w:szCs w:val="24"/>
        </w:rPr>
        <w:t xml:space="preserve">de olan siyasal partiler </w:t>
      </w:r>
      <w:r w:rsidR="006A7E0A" w:rsidRPr="00E97E0B">
        <w:rPr>
          <w:rFonts w:ascii="Times" w:eastAsia="Calibri" w:hAnsi="Times" w:cs="Times New Roman"/>
          <w:sz w:val="24"/>
          <w:szCs w:val="24"/>
        </w:rPr>
        <w:t xml:space="preserve">ve toplumsal kimlikler </w:t>
      </w:r>
      <w:r w:rsidRPr="00E97E0B">
        <w:rPr>
          <w:rFonts w:ascii="Times" w:eastAsia="Calibri" w:hAnsi="Times" w:cs="Times New Roman"/>
          <w:sz w:val="24"/>
          <w:szCs w:val="24"/>
        </w:rPr>
        <w:t xml:space="preserve">göz önünde bulundurarak </w:t>
      </w:r>
      <w:r w:rsidR="006A7E0A" w:rsidRPr="00E97E0B">
        <w:rPr>
          <w:rFonts w:ascii="Times" w:eastAsia="Calibri" w:hAnsi="Times" w:cs="Times New Roman"/>
          <w:sz w:val="24"/>
          <w:szCs w:val="24"/>
        </w:rPr>
        <w:t>iktidarda olan liderlerin söylemlerini incelemiştir.</w:t>
      </w:r>
      <w:r w:rsidRPr="00E97E0B">
        <w:rPr>
          <w:rFonts w:ascii="Times" w:eastAsia="Calibri" w:hAnsi="Times" w:cs="Times New Roman"/>
          <w:sz w:val="24"/>
          <w:szCs w:val="24"/>
        </w:rPr>
        <w:t xml:space="preserve"> </w:t>
      </w:r>
      <w:r w:rsidR="006A7E0A" w:rsidRPr="00E97E0B">
        <w:rPr>
          <w:rFonts w:ascii="Times" w:eastAsia="Calibri" w:hAnsi="Times" w:cs="Times New Roman"/>
          <w:sz w:val="24"/>
          <w:szCs w:val="24"/>
        </w:rPr>
        <w:t>H</w:t>
      </w:r>
      <w:r w:rsidRPr="00E97E0B">
        <w:rPr>
          <w:rFonts w:ascii="Times" w:eastAsia="Calibri" w:hAnsi="Times" w:cs="Times New Roman"/>
          <w:sz w:val="24"/>
          <w:szCs w:val="24"/>
        </w:rPr>
        <w:t>er iki ülkede de daha pek çok siyasi parti, lobi, sivil toplum örgütü ve medya gibi ihmal edilemeyecek etkin güç odakları ve gruplar yer alsa da iki ülkedeki bazı temel siyasi eğilimleri ve yaklaşımlar</w:t>
      </w:r>
      <w:r w:rsidR="00615C09" w:rsidRPr="00E97E0B">
        <w:rPr>
          <w:rFonts w:ascii="Times" w:eastAsia="Calibri" w:hAnsi="Times" w:cs="Times New Roman"/>
          <w:sz w:val="24"/>
          <w:szCs w:val="24"/>
        </w:rPr>
        <w:t>ı</w:t>
      </w:r>
      <w:r w:rsidRPr="00E97E0B">
        <w:rPr>
          <w:rFonts w:ascii="Times" w:eastAsia="Calibri" w:hAnsi="Times" w:cs="Times New Roman"/>
          <w:sz w:val="24"/>
          <w:szCs w:val="24"/>
        </w:rPr>
        <w:t xml:space="preserve"> belirtilmek suretiyle belli bir dönemde iktidarda olan siyasi partilerin liderlerinin </w:t>
      </w:r>
      <w:r w:rsidR="00615C09" w:rsidRPr="00E97E0B">
        <w:rPr>
          <w:rFonts w:ascii="Times" w:eastAsia="Calibri" w:hAnsi="Times" w:cs="Times New Roman"/>
          <w:sz w:val="24"/>
          <w:szCs w:val="24"/>
        </w:rPr>
        <w:t xml:space="preserve">konuşmalarının </w:t>
      </w:r>
      <w:r w:rsidR="00155579" w:rsidRPr="00E97E0B">
        <w:rPr>
          <w:rFonts w:ascii="Times" w:eastAsia="Calibri" w:hAnsi="Times" w:cs="Times New Roman"/>
          <w:sz w:val="24"/>
          <w:szCs w:val="24"/>
        </w:rPr>
        <w:t xml:space="preserve">seçilerek </w:t>
      </w:r>
      <w:r w:rsidRPr="00E97E0B">
        <w:rPr>
          <w:rFonts w:ascii="Times" w:eastAsia="Calibri" w:hAnsi="Times" w:cs="Times New Roman"/>
          <w:sz w:val="24"/>
          <w:szCs w:val="24"/>
        </w:rPr>
        <w:t xml:space="preserve">incelenmesi amaçlanmıştır. </w:t>
      </w:r>
      <w:r w:rsidR="005E5765" w:rsidRPr="00E97E0B">
        <w:rPr>
          <w:rFonts w:ascii="Times" w:eastAsia="Calibri" w:hAnsi="Times" w:cs="Times New Roman"/>
          <w:sz w:val="24"/>
          <w:szCs w:val="24"/>
        </w:rPr>
        <w:t>Burada hedeflenen</w:t>
      </w:r>
      <w:r w:rsidRPr="00E97E0B">
        <w:rPr>
          <w:rFonts w:ascii="Times" w:eastAsia="Calibri" w:hAnsi="Times" w:cs="Times New Roman"/>
          <w:sz w:val="24"/>
          <w:szCs w:val="24"/>
        </w:rPr>
        <w:t xml:space="preserve"> ülkelerin siyasi gruplarının ve bazı temel eğilimleri yansıttığı kabul edilen siyasi </w:t>
      </w:r>
      <w:r w:rsidR="009D0F66" w:rsidRPr="00E97E0B">
        <w:rPr>
          <w:rFonts w:ascii="Times" w:eastAsia="Calibri" w:hAnsi="Times" w:cs="Times New Roman"/>
          <w:sz w:val="24"/>
          <w:szCs w:val="24"/>
        </w:rPr>
        <w:t>aktörler</w:t>
      </w:r>
      <w:r w:rsidRPr="00E97E0B">
        <w:rPr>
          <w:rFonts w:ascii="Times" w:eastAsia="Calibri" w:hAnsi="Times" w:cs="Times New Roman"/>
          <w:sz w:val="24"/>
          <w:szCs w:val="24"/>
        </w:rPr>
        <w:t xml:space="preserve"> olan partilerin</w:t>
      </w:r>
      <w:r w:rsidR="00FF0189" w:rsidRPr="00E97E0B">
        <w:rPr>
          <w:rFonts w:ascii="Times" w:eastAsia="Calibri" w:hAnsi="Times" w:cs="Times New Roman"/>
          <w:sz w:val="24"/>
          <w:szCs w:val="24"/>
        </w:rPr>
        <w:t xml:space="preserve"> 2007-2012 dönemlerinde</w:t>
      </w:r>
      <w:r w:rsidRPr="00E97E0B">
        <w:rPr>
          <w:rFonts w:ascii="Times" w:eastAsia="Calibri" w:hAnsi="Times" w:cs="Times New Roman"/>
          <w:sz w:val="24"/>
          <w:szCs w:val="24"/>
        </w:rPr>
        <w:t xml:space="preserve"> </w:t>
      </w:r>
      <w:r w:rsidR="009D0F66" w:rsidRPr="00E97E0B">
        <w:rPr>
          <w:rFonts w:ascii="Times" w:eastAsia="Calibri" w:hAnsi="Times" w:cs="Times New Roman"/>
          <w:sz w:val="24"/>
          <w:szCs w:val="24"/>
        </w:rPr>
        <w:t xml:space="preserve">liderleri olan </w:t>
      </w:r>
      <w:r w:rsidR="00FF0189" w:rsidRPr="00E97E0B">
        <w:rPr>
          <w:rFonts w:ascii="Times" w:eastAsia="Calibri" w:hAnsi="Times" w:cs="Times New Roman"/>
          <w:sz w:val="24"/>
          <w:szCs w:val="24"/>
        </w:rPr>
        <w:t>Erdoğan ve Sarkozy’nin söylemlerinde</w:t>
      </w:r>
      <w:r w:rsidRPr="00E97E0B">
        <w:rPr>
          <w:rFonts w:ascii="Times" w:eastAsia="Calibri" w:hAnsi="Times" w:cs="Times New Roman"/>
          <w:sz w:val="24"/>
          <w:szCs w:val="24"/>
        </w:rPr>
        <w:t xml:space="preserve"> “öteki" </w:t>
      </w:r>
      <w:r w:rsidR="009D0F66" w:rsidRPr="00E97E0B">
        <w:rPr>
          <w:rFonts w:ascii="Times" w:eastAsia="Calibri" w:hAnsi="Times" w:cs="Times New Roman"/>
          <w:sz w:val="24"/>
          <w:szCs w:val="24"/>
        </w:rPr>
        <w:t>olan kimliklerin</w:t>
      </w:r>
      <w:r w:rsidRPr="00E97E0B">
        <w:rPr>
          <w:rFonts w:ascii="Times" w:eastAsia="Calibri" w:hAnsi="Times" w:cs="Times New Roman"/>
          <w:sz w:val="24"/>
          <w:szCs w:val="24"/>
        </w:rPr>
        <w:t xml:space="preserve"> nasıl tanımla</w:t>
      </w:r>
      <w:r w:rsidR="005E5765" w:rsidRPr="00E97E0B">
        <w:rPr>
          <w:rFonts w:ascii="Times" w:eastAsia="Calibri" w:hAnsi="Times" w:cs="Times New Roman"/>
          <w:sz w:val="24"/>
          <w:szCs w:val="24"/>
        </w:rPr>
        <w:t>n</w:t>
      </w:r>
      <w:r w:rsidRPr="00E97E0B">
        <w:rPr>
          <w:rFonts w:ascii="Times" w:eastAsia="Calibri" w:hAnsi="Times" w:cs="Times New Roman"/>
          <w:sz w:val="24"/>
          <w:szCs w:val="24"/>
        </w:rPr>
        <w:t>dığını incelemek ve</w:t>
      </w:r>
      <w:r w:rsidR="00FF0189" w:rsidRPr="00E97E0B">
        <w:rPr>
          <w:rFonts w:ascii="Times" w:eastAsia="Calibri" w:hAnsi="Times" w:cs="Times New Roman"/>
          <w:sz w:val="24"/>
          <w:szCs w:val="24"/>
        </w:rPr>
        <w:t xml:space="preserve"> iki liderin söylemleri </w:t>
      </w:r>
      <w:r w:rsidRPr="00E97E0B">
        <w:rPr>
          <w:rFonts w:ascii="Times" w:eastAsia="Calibri" w:hAnsi="Times" w:cs="Times New Roman"/>
          <w:sz w:val="24"/>
          <w:szCs w:val="24"/>
        </w:rPr>
        <w:t xml:space="preserve">arasında </w:t>
      </w:r>
      <w:r w:rsidR="00FF0189" w:rsidRPr="00E97E0B">
        <w:rPr>
          <w:rFonts w:ascii="Times" w:eastAsia="Calibri" w:hAnsi="Times" w:cs="Times New Roman"/>
          <w:sz w:val="24"/>
          <w:szCs w:val="24"/>
        </w:rPr>
        <w:t>benzerlikleri ve farklılıkları</w:t>
      </w:r>
      <w:r w:rsidRPr="00E97E0B">
        <w:rPr>
          <w:rFonts w:ascii="Times" w:eastAsia="Calibri" w:hAnsi="Times" w:cs="Times New Roman"/>
          <w:sz w:val="24"/>
          <w:szCs w:val="24"/>
        </w:rPr>
        <w:t xml:space="preserve"> tespit etmeye çalışmaktır. Ortadoğulu ve Batılı kimliklere sahip, NATO üyesi ve AB üyeliğine aday Türkiye’nin siyasi atmosferiyle, farklı zamanlarda muhtelif yerlerden aldığı göçler ve tarihsel ilişkileri bakımından benzerlik gösteren ve AB’nin kurucu unsurlarından ve başat aktörlerinden Fransa’nın siyasi atmosferlerinin kimlik ve öteki algılarının mukayese edilmesine </w:t>
      </w:r>
      <w:r w:rsidR="001145D8" w:rsidRPr="00E97E0B">
        <w:rPr>
          <w:rFonts w:ascii="Times" w:eastAsia="Calibri" w:hAnsi="Times" w:cs="Times New Roman"/>
          <w:sz w:val="24"/>
          <w:szCs w:val="24"/>
        </w:rPr>
        <w:t xml:space="preserve">de </w:t>
      </w:r>
      <w:r w:rsidRPr="00E97E0B">
        <w:rPr>
          <w:rFonts w:ascii="Times" w:eastAsia="Calibri" w:hAnsi="Times" w:cs="Times New Roman"/>
          <w:sz w:val="24"/>
          <w:szCs w:val="24"/>
        </w:rPr>
        <w:t xml:space="preserve">katkı sunmak amaçlanmaktadır. Bu katkı çağın en çok tartışılan konularından olan postmodernizmi de göz önünde bulundurmayı içermektedir. Kendini günlük siyasetin merkezinde bulan gündemler ve tanımlamalar çoğu kez tesadüfi olmayan siyasi ajandaların sonucu olarak görülebilmekte; siyasetçilerin ağızlarından çıkan her sözün de uzun uzadıya yapılan ortak fikir alışverişlerinin ve hazırlıkların sonucunda topluma yansımadığı da bir gerçek olarak kabul edilebilmektedir. Ancak bu </w:t>
      </w:r>
      <w:r w:rsidR="008E1C8B" w:rsidRPr="00E97E0B">
        <w:rPr>
          <w:rFonts w:ascii="Times" w:eastAsia="Calibri" w:hAnsi="Times" w:cs="Times New Roman"/>
          <w:sz w:val="24"/>
          <w:szCs w:val="24"/>
        </w:rPr>
        <w:t>bakımdan</w:t>
      </w:r>
      <w:r w:rsidR="00B11D54" w:rsidRPr="00E97E0B">
        <w:rPr>
          <w:rFonts w:ascii="Times" w:eastAsia="Calibri" w:hAnsi="Times" w:cs="Times New Roman"/>
          <w:sz w:val="24"/>
          <w:szCs w:val="24"/>
        </w:rPr>
        <w:t xml:space="preserve"> siyasetçilerin</w:t>
      </w:r>
      <w:r w:rsidRPr="00E97E0B">
        <w:rPr>
          <w:rFonts w:ascii="Times" w:eastAsia="Calibri" w:hAnsi="Times" w:cs="Times New Roman"/>
          <w:sz w:val="24"/>
          <w:szCs w:val="24"/>
        </w:rPr>
        <w:t xml:space="preserve"> sözlü </w:t>
      </w:r>
      <w:r w:rsidR="008E1C8B" w:rsidRPr="00E97E0B">
        <w:rPr>
          <w:rFonts w:ascii="Times" w:eastAsia="Calibri" w:hAnsi="Times" w:cs="Times New Roman"/>
          <w:sz w:val="24"/>
          <w:szCs w:val="24"/>
        </w:rPr>
        <w:t>olsun</w:t>
      </w:r>
      <w:r w:rsidRPr="00E97E0B">
        <w:rPr>
          <w:rFonts w:ascii="Times" w:eastAsia="Calibri" w:hAnsi="Times" w:cs="Times New Roman"/>
          <w:sz w:val="24"/>
          <w:szCs w:val="24"/>
        </w:rPr>
        <w:t xml:space="preserve"> yazılı olsun hitap ve ifadeleri</w:t>
      </w:r>
      <w:r w:rsidR="00B330BD" w:rsidRPr="00E97E0B">
        <w:rPr>
          <w:rFonts w:ascii="Times" w:eastAsia="Calibri" w:hAnsi="Times" w:cs="Times New Roman"/>
          <w:sz w:val="24"/>
          <w:szCs w:val="24"/>
        </w:rPr>
        <w:t>,</w:t>
      </w:r>
      <w:r w:rsidRPr="00E97E0B">
        <w:rPr>
          <w:rFonts w:ascii="Times" w:eastAsia="Calibri" w:hAnsi="Times" w:cs="Times New Roman"/>
          <w:sz w:val="24"/>
          <w:szCs w:val="24"/>
        </w:rPr>
        <w:t xml:space="preserve"> her zaman ortak bir çalışmanın</w:t>
      </w:r>
      <w:r w:rsidR="00B11D54" w:rsidRPr="00E97E0B">
        <w:rPr>
          <w:rFonts w:ascii="Times" w:eastAsia="Calibri" w:hAnsi="Times" w:cs="Times New Roman"/>
          <w:sz w:val="24"/>
          <w:szCs w:val="24"/>
        </w:rPr>
        <w:t>,</w:t>
      </w:r>
      <w:r w:rsidRPr="00E97E0B">
        <w:rPr>
          <w:rFonts w:ascii="Times" w:eastAsia="Calibri" w:hAnsi="Times" w:cs="Times New Roman"/>
          <w:sz w:val="24"/>
          <w:szCs w:val="24"/>
        </w:rPr>
        <w:t xml:space="preserve"> yani bilinçli olarak hazırlanmış ve hesaplı bir kurgunun sonucu olarak görül</w:t>
      </w:r>
      <w:r w:rsidR="00B330BD" w:rsidRPr="00E97E0B">
        <w:rPr>
          <w:rFonts w:ascii="Times" w:eastAsia="Calibri" w:hAnsi="Times" w:cs="Times New Roman"/>
          <w:sz w:val="24"/>
          <w:szCs w:val="24"/>
        </w:rPr>
        <w:t>e</w:t>
      </w:r>
      <w:r w:rsidRPr="00E97E0B">
        <w:rPr>
          <w:rFonts w:ascii="Times" w:eastAsia="Calibri" w:hAnsi="Times" w:cs="Times New Roman"/>
          <w:sz w:val="24"/>
          <w:szCs w:val="24"/>
        </w:rPr>
        <w:t>me</w:t>
      </w:r>
      <w:r w:rsidR="00B330BD" w:rsidRPr="00E97E0B">
        <w:rPr>
          <w:rFonts w:ascii="Times" w:eastAsia="Calibri" w:hAnsi="Times" w:cs="Times New Roman"/>
          <w:sz w:val="24"/>
          <w:szCs w:val="24"/>
        </w:rPr>
        <w:t>yecek olsa da,</w:t>
      </w:r>
      <w:r w:rsidRPr="00E97E0B">
        <w:rPr>
          <w:rFonts w:ascii="Times" w:eastAsia="Calibri" w:hAnsi="Times" w:cs="Times New Roman"/>
          <w:sz w:val="24"/>
          <w:szCs w:val="24"/>
        </w:rPr>
        <w:t xml:space="preserve"> bu tür </w:t>
      </w:r>
      <w:r w:rsidRPr="00E97E0B">
        <w:rPr>
          <w:rFonts w:ascii="Times" w:eastAsia="Calibri" w:hAnsi="Times" w:cs="Times New Roman"/>
          <w:sz w:val="24"/>
          <w:szCs w:val="24"/>
        </w:rPr>
        <w:lastRenderedPageBreak/>
        <w:t>çalışmaların siyaset yapıcıların işlerinin bir parçası olduğunu</w:t>
      </w:r>
      <w:r w:rsidR="00B330BD" w:rsidRPr="00E97E0B">
        <w:rPr>
          <w:rFonts w:ascii="Times" w:eastAsia="Calibri" w:hAnsi="Times" w:cs="Times New Roman"/>
          <w:sz w:val="24"/>
          <w:szCs w:val="24"/>
        </w:rPr>
        <w:t>n</w:t>
      </w:r>
      <w:r w:rsidRPr="00E97E0B">
        <w:rPr>
          <w:rFonts w:ascii="Times" w:eastAsia="Calibri" w:hAnsi="Times" w:cs="Times New Roman"/>
          <w:sz w:val="24"/>
          <w:szCs w:val="24"/>
        </w:rPr>
        <w:t xml:space="preserve"> da varsayılması gereklidir. Siyasetçilerin; kabul edilen belirli bir dönem ve bağlam içinde belirli bir konu hakkında ortaya koyacakları hesaplanmış söylemleri zihinlerinin bir köşesinde tuttukları düşünülebilir. Zira ele alınan dönem/dönemler içinde istikrarlı ve belirli bir yönü işaret eden anlamlı kabul edilebilecek söylem dizilerini bu kapsamda değerlendirmek uygun olacaktır. </w:t>
      </w:r>
    </w:p>
    <w:p w14:paraId="75950E1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Bu çalışmada, söylemlerin bu kapsama dahil olan söylem dizileri arasından belirgin ve çarpıcı olanlarını seçmeye gayret gösterilmiştir. Partinin mensupları içinden önde gelen bir siyasetçinin belirli bir söyleme yanıt vermek amacıyla veya belirli bir tartışma başlatmak üzere ortaya koyacağı söylem üzerinden değerlendirmeler yapılmıştır. Partilerin ileri gelenlerinin belirli bir temaya dair ürettiği söylem o tema dahilinde kendisini ve mensubu olduğu topluluğu konumlandırma biçimi açısından önemli bilgiler sunabileceği düşünülmektedir.</w:t>
      </w:r>
    </w:p>
    <w:p w14:paraId="724AABB2" w14:textId="4C8728AF"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Çalışmanın kapsamına dair bir diğer önemli husus siyasi partilerin toplumu yansıttığı varsayımının ağır basmasıdır. Merkez-çevre Kuramı kapsamında düşünüldüğünde, uzun yıllardır Türk siyasal hayatında 2000’lerden beri kutuplaşmanın arttığına dair söylem, “kutuplaşmanın” aslında hep var olan çatışmaların sosyo-ekonomik kategorilerin eskiden karşı karşıya gelmedikleri sahalarda</w:t>
      </w:r>
      <w:r w:rsidR="00615C09" w:rsidRPr="00E97E0B">
        <w:rPr>
          <w:rFonts w:ascii="Times" w:eastAsia="Calibri" w:hAnsi="Times" w:cs="Times New Roman"/>
          <w:sz w:val="24"/>
          <w:szCs w:val="24"/>
        </w:rPr>
        <w:t xml:space="preserve"> </w:t>
      </w:r>
      <w:r w:rsidRPr="00E97E0B">
        <w:rPr>
          <w:rFonts w:ascii="Times" w:eastAsia="Calibri" w:hAnsi="Times" w:cs="Times New Roman"/>
          <w:sz w:val="24"/>
          <w:szCs w:val="24"/>
        </w:rPr>
        <w:t>da karşılaşmalarının sonucu olan bir siyasi sancı olarak anlaşılabilir. Şerif Mardin’in de Türkiye’ye uyarlayarak katkıda bulunduğu merkez-çevre karşılaşmasında zamanın ruhuna uygun hareket eden Ak Parti’nin başarısı, Türkiye’yi dönüştüren bir parti olmanın yanında ve Türkiye’deki sosyo-ekonomik değişim ve dönüşümlere ayak uydurarak uzun ömürlü bir iktidarı sağlayabilmesi olmuştur.</w:t>
      </w:r>
      <w:r w:rsidRPr="00E97E0B">
        <w:rPr>
          <w:rFonts w:ascii="Times" w:eastAsia="Calibri" w:hAnsi="Times" w:cs="Times New Roman"/>
          <w:sz w:val="24"/>
          <w:szCs w:val="24"/>
          <w:vertAlign w:val="superscript"/>
        </w:rPr>
        <w:footnoteReference w:id="1"/>
      </w:r>
      <w:r w:rsidRPr="00E97E0B">
        <w:rPr>
          <w:rFonts w:ascii="Times" w:eastAsia="Calibri" w:hAnsi="Times" w:cs="Times New Roman"/>
          <w:sz w:val="24"/>
          <w:szCs w:val="24"/>
        </w:rPr>
        <w:t xml:space="preserve"> Aynı şekilde, hem uzun süreli bir siyasi iktidar döneminde edinilen siyasi konumlar hem de dünyanın ve Türkiye’nin yaşadığı hızlı sosyal ve ekonomik dönüşüm, iktidar parti/partilerinin ve muhalefet partilerinin söylemlerini çok hızlı şekilde dönüştürmesine neden olmuştur. Ayrıca, siyasetçilerin “Dün dündür, bugün bugündür” şeklinde yorumlanan ve dile getirilen Makyavelist “siyasetçi davranışına” uygun şekilde hızla yeni bir </w:t>
      </w:r>
      <w:r w:rsidRPr="00E97E0B">
        <w:rPr>
          <w:rFonts w:ascii="Times" w:eastAsia="Calibri" w:hAnsi="Times" w:cs="Times New Roman"/>
          <w:i/>
          <w:sz w:val="24"/>
          <w:szCs w:val="24"/>
        </w:rPr>
        <w:t>Zeitgeist</w:t>
      </w:r>
      <w:r w:rsidRPr="00E97E0B">
        <w:rPr>
          <w:rFonts w:ascii="Times" w:eastAsia="Calibri" w:hAnsi="Times" w:cs="Times New Roman"/>
          <w:sz w:val="24"/>
          <w:szCs w:val="24"/>
        </w:rPr>
        <w:t xml:space="preserve">’a kapılmalarına neden olmuştur. Pek çok muhtemel tanımı olabilecek olan siyaset, durumları idare etme ve strateji </w:t>
      </w:r>
      <w:r w:rsidRPr="00E97E0B">
        <w:rPr>
          <w:rFonts w:ascii="Times" w:eastAsia="Calibri" w:hAnsi="Times" w:cs="Times New Roman"/>
          <w:sz w:val="24"/>
          <w:szCs w:val="24"/>
        </w:rPr>
        <w:lastRenderedPageBreak/>
        <w:t xml:space="preserve">belirleyerek başarı kazanmayı içeren bir kavramdır. Değişim dalgalarının art arda geldiği bir ortamda, siyasetçiler değişimleri öngörerek ve onlara uyum sağlayarak siyasal başarı gösterebilirler. Aynı şekilde, Fransa da pek çok ekonomik ve sosyal değişime maruz kalmıştır. Yıllardan beri nüfusunun önemli bir bölümü göçmen kökenli vatandaşlardan oluşan Fransa’yı ABD’nin yakın bir müttefiki olarak, 11 Eylül saldırılarından bu yana yıllar boyunca Ortadoğu ülkeleriyle karşı karşıya getiren pek çok gelişme, ülkede İslam kültürüne bakışı hızla dönüştürmüş görünmektedir. Bu çalışmanın, 2007-2012 yılları arasında Fransa’da göreve gelen iktidarın başarılarını hangi toplumsal dönüşümleri yakalayarak elde ettiğini anlama çabasına da bir katkı sağlaması beklenmektedir. Toplumsal değişim konusunda Fransa ile Türkiye’nin farklılıklarından biri, son yirmi yıllık dönemde Türkiye’dekinin aksine Fransa’da siyasi iktidarın farklı partiler arasında el değiştirmiş olması ile Fransa’nın zaten göçmen ülkesi olması ve kolonyal geçmişi nedeniyle ülkedeki sosyo-ekonomik değişimlerin daha farklı bir şekilde yaşanmış olmasıdır. </w:t>
      </w:r>
    </w:p>
    <w:p w14:paraId="35A9CAF8" w14:textId="30ED6CBB"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Çalışmanın kapsamına dahil olan dönem 2007’den itibaren 2012’ye kadar uzanan süreçtir. Bu süreçte, iktidar partilerinin yaklaşımlarındaki dönüşümler ele alınmış ve karşılaştırılmıştır. Karşılaştırmaların nesnesi her iki ülkenin ele alınan dönemde </w:t>
      </w:r>
      <w:r w:rsidR="00B172B6" w:rsidRPr="00E97E0B">
        <w:rPr>
          <w:rFonts w:ascii="Times" w:eastAsia="Calibri" w:hAnsi="Times" w:cs="Times New Roman"/>
          <w:sz w:val="24"/>
          <w:szCs w:val="24"/>
        </w:rPr>
        <w:t>gündemlerinde öne çıkan konular üzerinden</w:t>
      </w:r>
      <w:r w:rsidRPr="00E97E0B">
        <w:rPr>
          <w:rFonts w:ascii="Times" w:eastAsia="Calibri" w:hAnsi="Times" w:cs="Times New Roman"/>
          <w:sz w:val="24"/>
          <w:szCs w:val="24"/>
        </w:rPr>
        <w:t xml:space="preserve"> siyasal iktidardaki liderlerin ortaya koyduğu söylemlerinin öne çıkan noktalarıdır. Bunu yapmak için</w:t>
      </w:r>
      <w:r w:rsidR="00B172B6" w:rsidRPr="00E97E0B">
        <w:rPr>
          <w:rFonts w:ascii="Times" w:eastAsia="Calibri" w:hAnsi="Times" w:cs="Times New Roman"/>
          <w:sz w:val="24"/>
          <w:szCs w:val="24"/>
        </w:rPr>
        <w:t xml:space="preserve"> </w:t>
      </w:r>
      <w:r w:rsidRPr="00E97E0B">
        <w:rPr>
          <w:rFonts w:ascii="Times" w:eastAsia="Calibri" w:hAnsi="Times" w:cs="Times New Roman"/>
          <w:sz w:val="24"/>
          <w:szCs w:val="24"/>
        </w:rPr>
        <w:t xml:space="preserve">ülkelerin en önde gelen sorunlara ilişkin söylemlere odaklanılmıştır. Bu sorunlara dair siyasi liderlerin gündemde öne çıkan ifadeleri değerlendirilerek ülkedeki ideolojik yönelimler ve en belirgin kimlik ve ideolojiler göz önünde bulundurularak iktidara gelme başarısını gösteren siyasi liderlerin öteki tasavvurlarındaki detaylar analiz edilmeye çalışılmış ve bu açıdan karşılaştırılmıştır.  </w:t>
      </w:r>
    </w:p>
    <w:p w14:paraId="4DDC56F2" w14:textId="0AE737CE"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Analiz konusu olarak seçilen iki ülke birbiriyle karşılaştırılabilecek pek çok özelliğe sahiptir. İlk olarak, her iki ülkede de kendi dönemleri (2007-2012) içinde sağ iktidarın liderliği önemli bir husustur. İki ülke, coğrafi ve siyasi olarak pek çok ortak özelliği barındırmaktadır. Hem Türkiye hem Fransa, müttefiklik ve rekabet ilişkisi içinde olan, imparatorluk geçmişleri olan, belli bir ölçüde karşılıklı etkileşimi devam eden ve </w:t>
      </w:r>
      <w:r w:rsidR="00A63343" w:rsidRPr="00E97E0B">
        <w:rPr>
          <w:rFonts w:ascii="Times" w:eastAsia="Calibri" w:hAnsi="Times" w:cs="Times New Roman"/>
          <w:sz w:val="24"/>
          <w:szCs w:val="24"/>
        </w:rPr>
        <w:t>boyutları itibariyle yakın sayıda</w:t>
      </w:r>
      <w:r w:rsidRPr="00E97E0B">
        <w:rPr>
          <w:rFonts w:ascii="Times" w:eastAsia="Calibri" w:hAnsi="Times" w:cs="Times New Roman"/>
          <w:sz w:val="24"/>
          <w:szCs w:val="24"/>
        </w:rPr>
        <w:t xml:space="preserve"> nüfus</w:t>
      </w:r>
      <w:r w:rsidR="00A63343" w:rsidRPr="00E97E0B">
        <w:rPr>
          <w:rFonts w:ascii="Times" w:eastAsia="Calibri" w:hAnsi="Times" w:cs="Times New Roman"/>
          <w:sz w:val="24"/>
          <w:szCs w:val="24"/>
        </w:rPr>
        <w:t>lara</w:t>
      </w:r>
      <w:r w:rsidRPr="00E97E0B">
        <w:rPr>
          <w:rFonts w:ascii="Times" w:eastAsia="Calibri" w:hAnsi="Times" w:cs="Times New Roman"/>
          <w:sz w:val="24"/>
          <w:szCs w:val="24"/>
        </w:rPr>
        <w:t xml:space="preserve"> ve idari sisteme sahip iki ülkedir. </w:t>
      </w:r>
      <w:r w:rsidR="0041401F" w:rsidRPr="00E97E0B">
        <w:rPr>
          <w:rFonts w:ascii="Times" w:eastAsia="Calibri" w:hAnsi="Times" w:cs="Times New Roman"/>
          <w:sz w:val="24"/>
          <w:szCs w:val="24"/>
        </w:rPr>
        <w:t xml:space="preserve">Çalışmanın devamında detaylarına yer verilecek olan Fransa </w:t>
      </w:r>
      <w:r w:rsidR="0041401F" w:rsidRPr="00E97E0B">
        <w:rPr>
          <w:rFonts w:ascii="Times" w:eastAsia="Calibri" w:hAnsi="Times" w:cs="Times New Roman"/>
          <w:sz w:val="24"/>
          <w:szCs w:val="24"/>
        </w:rPr>
        <w:lastRenderedPageBreak/>
        <w:t>nüfusu, incelenen dönemde yaklaşık 63-65 milyon civarındadır. Türkiye ise bu dönemde 70 ila 75 milyon nüfusa sahiptir. Türkiye nüfusunun görece daha büyük bir oranı gençlerden oluşmaktadır ve aynı zamanda, Fransa da Avrupa Birliği ülkelerinin en genç nüfuslu ülkelerinden birisidir.  Ayrıca hem Fransa hem Türkiye, çoğunluk olan toplumsal grupların dışında farklı kültürlerden çeşitli toplumsal grupların varlığıyla etnik ve kültürel çeşitlilikleri olan ülkelerdir. Coğrafi bakımdan, Avrupa kıtasında olan Fransa ve Avrupa kıtasında da toprağı bulunan Türkiye’nin, kültürel ticari ve siyasi ilişkilerinden dolayı etkileşimlerinin canlı olduğu söylenebilir. Ek olarak, her iki ülkenin toplumsal çoğunluklarının dinlerine mensup olan gruplar diğerinde azınlık gruplar olarak bulunmaktadır: Türkiye’de Hristiyan, Fransa’da Müslüman toplumsal grupları mevcuttur.</w:t>
      </w:r>
      <w:r w:rsidR="00BC0544" w:rsidRPr="00E97E0B">
        <w:rPr>
          <w:rFonts w:ascii="Times" w:eastAsia="Calibri" w:hAnsi="Times" w:cs="Times New Roman"/>
          <w:sz w:val="24"/>
          <w:szCs w:val="24"/>
        </w:rPr>
        <w:t xml:space="preserve"> Fransa’daki</w:t>
      </w:r>
      <w:r w:rsidRPr="00E97E0B">
        <w:rPr>
          <w:rFonts w:ascii="Times" w:eastAsia="Calibri" w:hAnsi="Times" w:cs="Times New Roman"/>
          <w:sz w:val="24"/>
          <w:szCs w:val="24"/>
        </w:rPr>
        <w:t xml:space="preserve"> siyasi ve idari yapı Tanzimat Fermanı’ndan bu yana Türkiye’deki idari sistem ve siyasi anlayışa önemli derecede etki edegelmektedir. Laiklik ilkesi, idare hukuku, cumhuriyet rejimi ve hatta merkeziyetçilik anlayışı, büyük ölçüde Fransa örnek alınarak teşkil edildiğinden, bu iki ülkenin yakınlığı daha iyi anlaşılabilir. 1961 Anayasası’ndaki Anayasa Mahkemesi’nin kuruluşu, Fransa’da bundan 1961 yılı öncesi yapılan değişikliğin bir benzeri uygulaması niteliğinde olması benzerlik açısından önemli diğer bir örnektir. Diğer taraftan, nüfuslarının büyük çoğunluğu belli bir dine mensup olan bu iki ülke de, çok eskiden beri imparatorluk geçmişlerinin bir sonucu olarak, Türkiye, Hristiyan azınlığı olması açısından, Fransa da Müslüman azınlığı açısından birbirlerinin kültür ve dinlerine büyük oranda aşinadır. Fransız Devrimi ve Osmanlı Devleti’nde gerçekleşen Sened-i İttifak ve Tanzimat Fermanı gibi reformlardan beri, detaylarda büyük farklılıklar olmasına rağmen, sonuçta halkın daha fazla söz sahibi olduğu ve yerel otoritelerin güçlendiği bir süreci iki yüzyıl kadardır yaşamaktadırlar. Dış politikaları açısından da özellikle incelenen dönem dahil olmak üzere tarihsel olarak iki ülkenin, ABD, AB ve NATO ekseninde oldukları söylenebilir.</w:t>
      </w:r>
    </w:p>
    <w:p w14:paraId="2977C7ED" w14:textId="171622ED" w:rsidR="00E52081" w:rsidRPr="00E97E0B" w:rsidRDefault="002858AE" w:rsidP="008C7EF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Benzerliklerin yanı sıra, Türkiye ve Fransa’nın bazı dikkat çekici farklıkları da mevcuttur. Bu farklılıklar arasında, Türkiye’nin nüfusunun ağırlıklı olarak Sünni Müslüman, Fransa’nın ise Katolik Hristiyan olması yer almaktadır. Fransa Avrupa Birliği’nin kurucu üyelerindendir. Türkiye ise uzun süredir Avrupa Birliği’ne aday ülke statüsündedir. </w:t>
      </w:r>
      <w:r w:rsidR="004546AD" w:rsidRPr="00E97E0B">
        <w:rPr>
          <w:rFonts w:ascii="Times" w:eastAsia="Calibri" w:hAnsi="Times" w:cs="Times New Roman"/>
          <w:sz w:val="24"/>
          <w:szCs w:val="24"/>
        </w:rPr>
        <w:t xml:space="preserve">Bu dönemde, Türkiye’deki laiklik anlayışı ülkedeki çoğunluğun </w:t>
      </w:r>
      <w:r w:rsidR="004546AD" w:rsidRPr="00E97E0B">
        <w:rPr>
          <w:rFonts w:ascii="Times" w:eastAsia="Calibri" w:hAnsi="Times" w:cs="Times New Roman"/>
          <w:sz w:val="24"/>
          <w:szCs w:val="24"/>
        </w:rPr>
        <w:lastRenderedPageBreak/>
        <w:t>dini inancı lehine gevşeme sürecinde iken, Fransa’daki laiklik anlayışı ülkedeki azınlığın dini inancı aleyhine katılaşma eğilimindedir. Türkiye nüfusunun büyük çoğunluğu Sünni Müslüman; Fransa nüfusunun ise büyük çoğunluğu Katolik Hristiyan menşeilidir. Türkiye’de laiklik ilkesi, Ak Parti iktidarının etkisiyle, dindar kesimlerin özgürlükleri lehine, laiklik ilkesiyle ilişkili olan veya öyle olduğu kabul edilen bazı katı uygulamaların ve yasakların kaldırılması yönünde şekillenmekte iken, Fransa’da aynı ilke, Katolik dini inancının talepleri lehine değil; Katolik olmayan inanç gruplarının bazı uygulamalarının kamusal alanın dışında kalmasını sağlayacak yönde şekillendiği söylenebilir. Sözgelimi, Türkiye’de çoğunluğun dini inanç ve kültürüyle ilişkili uygulamalardan biri olan başörtüsünü takmak isteyenlerin kamusal alanda karşılaştıkları engeller sona ermişken; Fransa’da Müslüman azınlığın din referanslı uygulaması olan başörtüsü takmayı zorlaştıran birtakım uygulamalar söz konusu olabilmektedir.</w:t>
      </w:r>
    </w:p>
    <w:p w14:paraId="19006D5D" w14:textId="556B95F6" w:rsidR="002858AE" w:rsidRPr="00E97E0B" w:rsidRDefault="002858AE" w:rsidP="008C7EF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Türkiye’deki en büyük ikinci inanç grubu bazılarına göre İslam dairesi içinde de sıklıkla anılan bazılarına göre de farklı bir inanç grubu olarak tanımlanan Aleviler iken, Fransa’daki en büyük ikinci inanç grubu Müslümanlardır. Türkiye’deki Aleviler yerleşik unsur iken, Fransa’daki Müslümanların ekseriyeti göçmen kökenli ya da halen göçmen olanlardır. Fransa V. Cumhuriyet döneminden beri anayasasında az sayıda değişiklik yapmış olmakla birlikte, V. Cumhuriyet’in kuruluşuna tekabül eden dönemden beri karşılaştırıldığında, Türkiye 1961 anayasasını 1982’ye kadar yürürlülükte tutmuş ve 2007’den itibaren, parlamenter sistemden başkanlık sistemine geçiş sürecini başlatmıştır. Ayrıca, Türkiye askeri kurumların anayasal olarak sivil otorite karşısında güçlü bir konumda olduğu bir sistemi bu yıllara kadar sürdürdüğünden, sivil-asker ikiliği Fransa’dakinin aksine siyasi tartışmalarda önemli bir yerdedir. Fransa’da ise V. Cumhuriyet boyunca, asker kökenli bir lider olan De Gaulle’ün döneminde bile</w:t>
      </w:r>
      <w:r w:rsidR="00FD72B1" w:rsidRPr="00E97E0B">
        <w:rPr>
          <w:rFonts w:ascii="Times" w:eastAsia="Calibri" w:hAnsi="Times" w:cs="Times New Roman"/>
          <w:sz w:val="24"/>
          <w:szCs w:val="24"/>
        </w:rPr>
        <w:t xml:space="preserve"> </w:t>
      </w:r>
      <w:r w:rsidRPr="00E97E0B">
        <w:rPr>
          <w:rFonts w:ascii="Times" w:eastAsia="Calibri" w:hAnsi="Times" w:cs="Times New Roman"/>
          <w:sz w:val="24"/>
          <w:szCs w:val="24"/>
        </w:rPr>
        <w:t xml:space="preserve">ordunun siyasette ağırlığının olduğu söylenemez. Türkiye’de Cumhuriyetin erken dönemlerinden beri kurucu kadrolar dahil olmak üzere asker yoğunluğu göze çarparken, Fransa’da yönetici seçkinlerin dar bir çevreden de olsa sivil okullardan geldiği söylenebilir. Türkiye merkeziyetçiliğin güçlü olduğu bir rejime sahipken, Fransa’nın yönetim anlayışında ihtiyaçlar doğrultusunda adem-i merkeziyetin 1982’den bu yana artırdığı söylenebilir. Türkiye’de ise etnik ve kültürel çeşitliliğin coğrafi olarak </w:t>
      </w:r>
      <w:r w:rsidRPr="00E97E0B">
        <w:rPr>
          <w:rFonts w:ascii="Times" w:eastAsia="Calibri" w:hAnsi="Times" w:cs="Times New Roman"/>
          <w:sz w:val="24"/>
          <w:szCs w:val="24"/>
        </w:rPr>
        <w:lastRenderedPageBreak/>
        <w:t>homojen dağılmıyor olmasının adem-i merkeziyete tereddütlü yaklaşılmasında önemli bir payı vardır. Fransa’da devletin bölünmesine yönelik korkuya neden olacak düzeyde benzer bir tereddüt söz konusu değildir, ancak Fransa’da da aynı şehir veya bölge içinde homojen olmayan dağılım ve gettolaşma ile paralel seyreden toplumsal problemler sık sık gündeme gelmektedir. Her iki ülkede de iç güvenlikle ilgili sorunlar olmasına rağmen, Türkiye’de bu sorunlar, yer yer belli bölgelerde sıcak çatışma şeklinde kendini göstermekte; Fransa’da ise dağınık toplulukların şehir merkezlerinde zaman zaman şiddet içeren sokak olayları şeklinde görülmektedir.</w:t>
      </w:r>
    </w:p>
    <w:p w14:paraId="40704E6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Söylem analizi gerçekleştirilen siyasetçiler, ülkelerinin iktidarlarında olan en ileri gelen temsilciler olmaları nedeniyle seçilmiştir. Her iki ülkede de incelenen liderlerin aynı dönemde (2007-2012) yaptıkları konuşmaları incelemenin, söylem tarzlarını karşılaştırmak açısından daha anlamlı olacağı düşünülmüştür. Zira ülkeler ve liderler pek çok özel durum ve koşula sahiptir.  Bu nedenle, mümkün olan en benzer durumlarda olan konuşmacıların karşılaştırılabilmesi için karşılaştırma nesnesi olan söylemlerin zaman, koşul, makam ve ideolojik eğilimlerinin asgari ölçüde de olsa benzemesi amaçlanmıştır. Bu doğrultuda, farklı ülkelerde bu benzerliklere sahip olan siyasetçilerin bu çerçevede karşılaştırılması amaçlanmıştır. Bu dönemin küresel düzeyde en belirgin özellikleri, 2007-2008 Küresel Finans Krizi, Barack Obama’nın ABD başkanı seçilmesiyle kimliklerin tanınması yönünde tüm dünyada sembolik de olsa bir heyecanın başlaması, 2009-2012 yıllarında Avro Bölgesi’nin borç krizine girmesi ve Tunus’ta başlayan ve çoğunlukla Arap dünyasında hükümetlerin değişmesinde veya otoritelerinin zayıflamasında etkili olan Arap İsyanları gibi küresel olayların olmasıdır. Söz konusu küresel olaylar, ekonomik krizlerin ve ulus devlet sınırı dahilindeki kimliklerin gündem olmasını hızlandıran bir etkiye de sahip olmuştur. Böylelikle, öteki unsurunun tanımlandığı ve konumlandığı söylemlerde de bu tip konulara ağırlık verilmesi, beklenen bir durumdur. </w:t>
      </w:r>
    </w:p>
    <w:p w14:paraId="2F7C48B7"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İki ülkenin, siyasal ortamlarının karşılaştırılması açısından uygun ölçüde benzerlik taşıdığı görülmektedir, ancak farklılıkların, liderlerin konuşmalarına yansıdığı göz önünde bulundurularak, çalışmada liderlerin öteki unsurunu tanımlama tarz ve şekline odaklanılmıştır. Her iki liderin kendi ülkelerinde benzer </w:t>
      </w:r>
      <w:r w:rsidRPr="00E97E0B">
        <w:rPr>
          <w:rFonts w:ascii="Times" w:eastAsia="Calibri" w:hAnsi="Times" w:cs="Times New Roman"/>
          <w:sz w:val="24"/>
          <w:szCs w:val="24"/>
        </w:rPr>
        <w:lastRenderedPageBreak/>
        <w:t xml:space="preserve">ideolojik eğilimleri olup ve aynı dönemde iktidar oldukları için uygun karşılaştırma nesneleri olduğu düşünülmüştür. </w:t>
      </w:r>
    </w:p>
    <w:p w14:paraId="7C890CC9" w14:textId="3F74F233" w:rsidR="00112D1D" w:rsidRPr="00E97E0B" w:rsidRDefault="002858AE" w:rsidP="00112D1D">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İki liderin söylem incelemeleri üzerinden, Türkiye ve Fransa gibi tarihsel sebeplerden ötürü benzer siyasi ve hukuki rejimlere sahip olan biri Avrupa, diğeri Ortadoğu gibi coğrafyalarda model olan bu ülkelerin, sağ ve popülist eğilimli siyasi liderlerinin söylemlerini ve siyasi davranışlarını, kamuoylarındaki iç meseleleri ve ayrışma noktalarını, iktidar perspektiflerinden ötekilerini anlamak ve karşılaştırmalı olarak değerlendirmek, iki sağ liderin ötekini tanımlama davranışlarındaki benzerlikleri görmek bakımından yararlı olacaktır. Batı’yla gelişmişlik düzeyi bakımından sürekli kendini karşılaştırma ihtiyacı hisseden Türkiye ile, siyasi hayatın ötekilerinin Fransa gibi Batıyı temsil eden bir ülkeninkiyle karşılaştırıldığında, farkların da ortaya çıkarak ülkelerin özel koşullarının söylemlere ne şekilde yansıdığını saptamak literatüre katkı sağlayabileceği </w:t>
      </w:r>
      <w:r w:rsidRPr="00E97E0B">
        <w:rPr>
          <w:rFonts w:ascii="Times New Roman" w:eastAsia="Calibri" w:hAnsi="Times New Roman" w:cs="Times New Roman"/>
          <w:color w:val="000000"/>
          <w:sz w:val="24"/>
          <w:szCs w:val="24"/>
        </w:rPr>
        <w:t xml:space="preserve">düşünülmektedir. Araştırmada, </w:t>
      </w:r>
      <w:r w:rsidR="00C05322" w:rsidRPr="00E97E0B">
        <w:rPr>
          <w:rFonts w:ascii="Times New Roman" w:eastAsia="Calibri" w:hAnsi="Times New Roman" w:cs="Times New Roman"/>
          <w:color w:val="000000"/>
          <w:sz w:val="24"/>
          <w:szCs w:val="24"/>
        </w:rPr>
        <w:t>ç</w:t>
      </w:r>
      <w:r w:rsidRPr="00E97E0B">
        <w:rPr>
          <w:rFonts w:ascii="Times New Roman" w:eastAsia="Calibri" w:hAnsi="Times New Roman" w:cs="Times New Roman"/>
          <w:color w:val="000000"/>
          <w:sz w:val="24"/>
          <w:szCs w:val="24"/>
        </w:rPr>
        <w:t>eşitli konumlarda pek çok ötekinin olduğu görülmekle birlikte en çok ve kuvvetli şekilde dile getirilenler tespit edilmeye çalışılmıştır. Çalışmada, öteki olarak toplumsal etnik, dini, kültürel ve siyasi kimliklerin yalnızca iktidar olan liderlerin kamuya açık, benzerleri sık tekrar eden veya sık tekrar etmediği halde kamuoyunda olağanın ötesinde dikkat çeken konuşmalarına odaklanılmıştır. En sık tekrar eden konuşmaların açık bir şekilde politikacıların bilhassa kendilerinin ve gruplarının konumlanmasını hatırlatmak ve kimliği hatırlatmak ve dönüştürmek için yaptıkları dolayısıyla bir toplumsal ve siyasi çerçeveyi çiziyor oldukları anlaşılmaktadır. İkinci tür konuşma metinlerinin seçilmesi ise liderlerin toplumda ve medyada karşılık buluyor olmalarıyla</w:t>
      </w:r>
      <w:r w:rsidR="00D875AF" w:rsidRPr="00E97E0B">
        <w:rPr>
          <w:rFonts w:ascii="Times New Roman" w:eastAsia="Calibri" w:hAnsi="Times New Roman" w:cs="Times New Roman"/>
          <w:color w:val="000000"/>
          <w:sz w:val="24"/>
          <w:szCs w:val="24"/>
        </w:rPr>
        <w:t xml:space="preserve"> </w:t>
      </w:r>
      <w:r w:rsidRPr="00E97E0B">
        <w:rPr>
          <w:rFonts w:ascii="Times New Roman" w:eastAsia="Calibri" w:hAnsi="Times New Roman" w:cs="Times New Roman"/>
          <w:color w:val="000000"/>
          <w:sz w:val="24"/>
          <w:szCs w:val="24"/>
        </w:rPr>
        <w:t xml:space="preserve">yeniden </w:t>
      </w:r>
      <w:r w:rsidRPr="00E97E0B">
        <w:rPr>
          <w:rFonts w:ascii="Times New Roman" w:eastAsia="Calibri" w:hAnsi="Times New Roman" w:cs="Times New Roman"/>
          <w:sz w:val="24"/>
          <w:szCs w:val="24"/>
        </w:rPr>
        <w:t xml:space="preserve">konumlanmayı üretme konusunda etkilerinin büyük olacağı düşüncesidir. Sözgelimi bir siyasetçi “falanca grup kötüdür” dediği zaman bunu sık tekrar etmiyor bile olsa veya ağzından da kaçırsa bunun kamuoyunda tasdik veya ret davranışıyla karşılık göreceği tahmin edilebilir. İncelenen her iki siyasetçinin de toplumda uzun süre kitleler tarafından desteklendiği düşünüldüğünde, söz konusu varsayımın haklı olduğu görülmektedir. Erdoğan 2002’den günümüzde dek iktidarını sürdürmekte olup, Sarkozy de bir kere iktidara gelmiş de olsa ikinci defa seçimlere katılıp ikinci turda toplumun %48,36’sının desteğini alabilmiştir ki 2016’ya kadar aktif siyasete devam etmiştir.  </w:t>
      </w:r>
    </w:p>
    <w:p w14:paraId="79486748" w14:textId="77777777" w:rsidR="00413EB5" w:rsidRPr="00E97E0B" w:rsidRDefault="00413EB5" w:rsidP="00413EB5">
      <w:pPr>
        <w:spacing w:before="120" w:after="120" w:line="360" w:lineRule="auto"/>
        <w:ind w:firstLine="720"/>
        <w:jc w:val="both"/>
        <w:rPr>
          <w:rFonts w:ascii="Times" w:eastAsia="Calibri" w:hAnsi="Times" w:cs="Times New Roman"/>
          <w:color w:val="000000" w:themeColor="text1"/>
        </w:rPr>
      </w:pPr>
      <w:r w:rsidRPr="00E97E0B">
        <w:rPr>
          <w:rFonts w:ascii="Times" w:eastAsia="Calibri" w:hAnsi="Times" w:cs="Times New Roman"/>
          <w:color w:val="000000" w:themeColor="text1"/>
        </w:rPr>
        <w:lastRenderedPageBreak/>
        <w:t xml:space="preserve">Türkiye’nin, Fransa’ya göre demokratikleşme sürecine daha geç başladığı düşünüldüğünde, ülkelerin siyasi hayatlarında iktidar sahiplerinin ötekine nasıl yaklaştığının incelenmesi, bu zaman farkının söylem tarzında belirgin bir fark oluşturup oluşturmadığının anlamak bakımından yararlı olabilir. </w:t>
      </w:r>
    </w:p>
    <w:p w14:paraId="69AF3116" w14:textId="77777777" w:rsidR="00413EB5" w:rsidRPr="00E97E0B" w:rsidRDefault="00413EB5" w:rsidP="00413EB5">
      <w:pPr>
        <w:spacing w:before="120" w:after="120" w:line="360" w:lineRule="auto"/>
        <w:ind w:firstLine="720"/>
        <w:jc w:val="both"/>
        <w:rPr>
          <w:rFonts w:ascii="Times" w:eastAsia="Calibri" w:hAnsi="Times" w:cs="Times New Roman"/>
          <w:color w:val="000000" w:themeColor="text1"/>
        </w:rPr>
      </w:pPr>
      <w:r w:rsidRPr="00E97E0B">
        <w:rPr>
          <w:rFonts w:ascii="Times" w:eastAsia="Calibri" w:hAnsi="Times" w:cs="Times New Roman"/>
          <w:color w:val="000000" w:themeColor="text1"/>
        </w:rPr>
        <w:t>Türkiye, nüfusunun çoğunluğu Sünni Müslüman olan bir ülkedir. Fransa da nüfusunun çoğunluğu Katolik Hristiyan olan bir ülkedir. Bu iki ülkenin iktidarlarının bu farklı kültürel özellikleri taşımalarının, öteki algı ve anlayışlarına nasıl yansıyacağını görmek de söylem analizinin muhtemel faydalarından biridir.</w:t>
      </w:r>
    </w:p>
    <w:p w14:paraId="00FB039F" w14:textId="3568FC8D" w:rsidR="00413EB5" w:rsidRPr="00E97E0B" w:rsidRDefault="00413EB5" w:rsidP="00413EB5">
      <w:pPr>
        <w:spacing w:before="120" w:after="120" w:line="360" w:lineRule="auto"/>
        <w:ind w:firstLine="720"/>
        <w:jc w:val="both"/>
        <w:rPr>
          <w:rFonts w:ascii="Times" w:eastAsia="Calibri" w:hAnsi="Times" w:cs="Times New Roman"/>
          <w:color w:val="000000" w:themeColor="text1"/>
        </w:rPr>
      </w:pPr>
      <w:r w:rsidRPr="00E97E0B">
        <w:rPr>
          <w:rFonts w:ascii="Times" w:eastAsia="Calibri" w:hAnsi="Times" w:cs="Times New Roman"/>
          <w:color w:val="000000" w:themeColor="text1"/>
        </w:rPr>
        <w:t xml:space="preserve">İslamcı ve </w:t>
      </w:r>
      <w:r w:rsidR="00881AEA" w:rsidRPr="00E97E0B">
        <w:rPr>
          <w:rFonts w:ascii="Times" w:eastAsia="Calibri" w:hAnsi="Times" w:cs="Times New Roman"/>
          <w:color w:val="000000" w:themeColor="text1"/>
        </w:rPr>
        <w:t>muhafazakâr</w:t>
      </w:r>
      <w:r w:rsidRPr="00E97E0B">
        <w:rPr>
          <w:rFonts w:ascii="Times" w:eastAsia="Calibri" w:hAnsi="Times" w:cs="Times New Roman"/>
          <w:color w:val="000000" w:themeColor="text1"/>
        </w:rPr>
        <w:t xml:space="preserve"> geleneği temsil eden ve geçmiş iktidarlarla arasına mesafe koyan Erdoğan ile Gaullist ve sağ gelenekten gelen ve selefleriyle görece daha az mesafe koyan Sarkozy’nin kendi iç grupları dışına yönelik perspektiflerinin karşılaştırılması, söylem stratejisinin farklı özellikleri nedeniyle farklılaştığını ya da aralarındaki farklara rağmen benzediğini görmek bakımından da faydalı olacaktır.</w:t>
      </w:r>
    </w:p>
    <w:p w14:paraId="34CF91FB" w14:textId="77777777" w:rsidR="002858AE" w:rsidRPr="00E97E0B" w:rsidRDefault="002858AE" w:rsidP="002858AE">
      <w:pPr>
        <w:spacing w:before="120" w:after="120" w:line="36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t>Literatürde çok sayıda eleştirel söylem analizi çalışması mevcuttur, ancak çalışmalar yöntem, örnek vaka ve konu bakımından çeşitlilik göstermektedir. Literatürde tespit edilen benzer çalışmalar bulunmaktadır. Süleyman Güven’in ESA yöntemiyle yapmış olduğu çalışmada postmodern söylem çerçevesinde Recep Tayyip Erdoğan,  Devlet Bahçeli, Kemal Kılıçdaroğlu ve Deniz Baykal’ın söylemlerini Güneydoğu Meselesi ve İsrail-Türkiye İlişkileri bağlamında söylem analiziyle incelenmiştir.</w:t>
      </w:r>
      <w:r w:rsidRPr="00E97E0B">
        <w:rPr>
          <w:rFonts w:ascii="Times New Roman" w:eastAsia="Calibri" w:hAnsi="Times New Roman" w:cs="Times New Roman"/>
          <w:sz w:val="24"/>
          <w:szCs w:val="24"/>
          <w:vertAlign w:val="superscript"/>
        </w:rPr>
        <w:footnoteReference w:id="2"/>
      </w:r>
      <w:r w:rsidRPr="00E97E0B">
        <w:rPr>
          <w:rFonts w:ascii="Times New Roman" w:eastAsia="Calibri" w:hAnsi="Times New Roman" w:cs="Times New Roman"/>
          <w:sz w:val="24"/>
          <w:szCs w:val="24"/>
        </w:rPr>
        <w:t xml:space="preserve"> Betül Ayanoğlu’nun, Türk-Yunan ilişkilerinde ötekilik: Siyasi söylemde süreklilik ve değişim (1996-1999), adlı çalışmasında uluslararası ilişkilerde inşacılık teorileri çerçevesinde Türkiye ve Yunanistan’nın öteki algıları, her iki ülkedeki meclis tartışmaları üzerinden incelenmiştir.</w:t>
      </w:r>
      <w:r w:rsidRPr="00E97E0B">
        <w:rPr>
          <w:rFonts w:ascii="Times New Roman" w:eastAsia="Calibri" w:hAnsi="Times New Roman" w:cs="Times New Roman"/>
          <w:sz w:val="24"/>
          <w:szCs w:val="24"/>
          <w:vertAlign w:val="superscript"/>
        </w:rPr>
        <w:footnoteReference w:id="3"/>
      </w:r>
      <w:r w:rsidRPr="00E97E0B">
        <w:rPr>
          <w:rFonts w:ascii="Times New Roman" w:eastAsia="Calibri" w:hAnsi="Times New Roman" w:cs="Times New Roman"/>
          <w:sz w:val="24"/>
          <w:szCs w:val="24"/>
        </w:rPr>
        <w:t xml:space="preserve"> Elif Sandal Önal, Türkiye’de ötekileştirmenin, bireylerin mensup oldukları sosyal grupları tanımlaması ile olan ilişkisini grup anlatıları ve inşacı teori üzerinden incelemiştir.</w:t>
      </w:r>
      <w:r w:rsidRPr="00E97E0B">
        <w:rPr>
          <w:rFonts w:ascii="Times New Roman" w:eastAsia="Calibri" w:hAnsi="Times New Roman" w:cs="Times New Roman"/>
          <w:sz w:val="24"/>
          <w:szCs w:val="24"/>
          <w:vertAlign w:val="superscript"/>
        </w:rPr>
        <w:footnoteReference w:id="4"/>
      </w:r>
      <w:r w:rsidRPr="00E97E0B">
        <w:rPr>
          <w:rFonts w:ascii="Times New Roman" w:eastAsia="Calibri" w:hAnsi="Times New Roman" w:cs="Times New Roman"/>
          <w:sz w:val="24"/>
          <w:szCs w:val="24"/>
        </w:rPr>
        <w:t xml:space="preserve"> Beyza Karayel Yeşilbaş, Türkiye’deki Medya, milliyetçilik ve şiddet: "Öteki" ile ilgili bir haberlerin söylem analizini milliyetçilik teorileri ve ESA çerçevesinde </w:t>
      </w:r>
      <w:r w:rsidRPr="00E97E0B">
        <w:rPr>
          <w:rFonts w:ascii="Times New Roman" w:eastAsia="Calibri" w:hAnsi="Times New Roman" w:cs="Times New Roman"/>
          <w:sz w:val="24"/>
          <w:szCs w:val="24"/>
        </w:rPr>
        <w:lastRenderedPageBreak/>
        <w:t>gerçekleştirmiştir.</w:t>
      </w:r>
      <w:r w:rsidRPr="00E97E0B">
        <w:rPr>
          <w:rFonts w:ascii="Times New Roman" w:eastAsia="Calibri" w:hAnsi="Times New Roman" w:cs="Times New Roman"/>
          <w:sz w:val="24"/>
          <w:szCs w:val="24"/>
          <w:vertAlign w:val="superscript"/>
        </w:rPr>
        <w:footnoteReference w:id="5"/>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lang w:val="en-US"/>
        </w:rPr>
        <w:t>Aylin Arslan ise Ötekiliğin dinsel kimlik ve cinsel kimlik çerçevesindeki izdüşümleri başlıklı çalışmasında Türkiye’deki kimliklerin kendilerini ifadeleri üzerine kartopu örnekleme metoduyla çalışmıştır.</w:t>
      </w:r>
      <w:r w:rsidRPr="00E97E0B">
        <w:rPr>
          <w:rFonts w:ascii="Times New Roman" w:eastAsia="Calibri" w:hAnsi="Times New Roman" w:cs="Times New Roman"/>
          <w:sz w:val="24"/>
          <w:szCs w:val="24"/>
          <w:vertAlign w:val="superscript"/>
          <w:lang w:val="en-US"/>
        </w:rPr>
        <w:footnoteReference w:id="6"/>
      </w:r>
      <w:r w:rsidRPr="00E97E0B">
        <w:rPr>
          <w:rFonts w:ascii="Times New Roman" w:eastAsia="Calibri" w:hAnsi="Times New Roman" w:cs="Times New Roman"/>
          <w:sz w:val="24"/>
          <w:szCs w:val="24"/>
          <w:lang w:val="en-US"/>
        </w:rPr>
        <w:t xml:space="preserve"> Oğuz Göksu da Ak Parti döneminin seçim stratejileri ve siyasal kampanyaları 2002-2014 Dönemi Analizi isimli çalışmasında Ak Parti’nin kampanya sloganları ve stratejilerini ele aldığı bir söylem analizi çalışması gerçekleştirmiştir.</w:t>
      </w:r>
      <w:r w:rsidRPr="00E97E0B">
        <w:rPr>
          <w:rFonts w:ascii="Times New Roman" w:eastAsia="Calibri" w:hAnsi="Times New Roman" w:cs="Times New Roman"/>
          <w:sz w:val="24"/>
          <w:szCs w:val="24"/>
          <w:vertAlign w:val="superscript"/>
          <w:lang w:val="en-US"/>
        </w:rPr>
        <w:footnoteReference w:id="7"/>
      </w:r>
      <w:bookmarkStart w:id="8" w:name="_Hlk136872488"/>
      <w:r w:rsidRPr="00E97E0B">
        <w:rPr>
          <w:rFonts w:ascii="Times New Roman" w:eastAsia="Calibri" w:hAnsi="Times New Roman" w:cs="Times New Roman"/>
          <w:sz w:val="24"/>
          <w:szCs w:val="24"/>
        </w:rPr>
        <w:t xml:space="preserve"> Selin Karana Şenol, İki Farklı Dünya ama Aynı Popülizm: Hugo Chávez ve Recep Tayyip Erdoğan Karşılaştırması başlıklı çalışmasında Erdoğan’la birlikte Chàvez’i popülizm bağlamında politikalarını ele aldığı çalışmasında liderlerin ideolojik ve söylemsel açıdan değerlendirilmesine kısaca değinmiştir.</w:t>
      </w:r>
      <w:r w:rsidRPr="00E97E0B">
        <w:rPr>
          <w:rFonts w:ascii="Times New Roman" w:eastAsia="Calibri" w:hAnsi="Times New Roman" w:cs="Times New Roman"/>
          <w:sz w:val="24"/>
          <w:szCs w:val="24"/>
          <w:vertAlign w:val="superscript"/>
        </w:rPr>
        <w:footnoteReference w:id="8"/>
      </w:r>
      <w:bookmarkEnd w:id="8"/>
    </w:p>
    <w:p w14:paraId="1A200DB2" w14:textId="6FD332C2"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Bu çalışma, eleştirel söylem analizini kullanarak iki ayrı ülkede aynı dönemde iktidarda olan ve siyasi yelpazede sağ olarak konumlanabilecek iki siyasi liderin ülke içi siyasi ve toplumsal grupları söylemlerinde öteki olarak nasıl konumlandırdıklarını, hangi söylem çözümleme kategorilerine başvurduklarını ele alarak literatüre katkı yapmayı hedeflemiştir. İki sağ iktidar lideri Erdoğan ve Sarkozy’nin söylemlerini karşılaştırarak analiz eden bu siyasal söylem analizi, ilgili literatüre, sağ siyasetin ötekilerini araştırarak dönemin siyasi ve toplumsal gruplarının iktidar tarafından konumlandırılmalarında ne gibi farklılıklarının olduğunu sergilemek bakımından da katkı sunmuştur. Ayrıca benzer ideolojilere sahip liderlerin öteki konumlandırma tarzlarının daha fazla benzeşebileceğini göstermek bakımından çalışmanın bulgularının önemli olduğu düşünülmektedir.  </w:t>
      </w:r>
    </w:p>
    <w:p w14:paraId="5ABA3264" w14:textId="1C6F039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Bu çalışmada, toplumsal cinsiyet, cinsiyet rolleri, cinsel kimlikler benzeri konulardaki söylemler çalışmada yer almamaktadır. Bu gruplarla ilgili öteki konumlarının toplumsal cinsiyet (gender) üzerine yoğunlaşmış bir başka çalışmanın konusu olabileceği düşünüldüğünden, bu kategorilerle ilgili söylemler inceleme </w:t>
      </w:r>
      <w:r w:rsidRPr="00E97E0B">
        <w:rPr>
          <w:rFonts w:ascii="Times New Roman" w:eastAsia="Calibri" w:hAnsi="Times New Roman" w:cs="Times New Roman"/>
          <w:sz w:val="24"/>
          <w:szCs w:val="24"/>
        </w:rPr>
        <w:lastRenderedPageBreak/>
        <w:t>konusu dışında bırakılmıştır. Uluslararası ve ulus ötesi ötekiler de yine çalışmanın kapsamına dahil edilmemiş ve ülkenin iç meseleleri üzerinden ülke içi ötekileri inceleme konusu olmuştur. Basında çıkan haberler ve Erdoğan ve Sarkozy dışındaki liderlerin konuşma, demeç ve söylemleri konuşmaya dahil edilmemiş, yalnızca liderlerin kendi konuşma kesitlerindeki söylem bütünlüğü anlaşılmaya çalışılmıştır. Çalışmanın bir diğer önemli sınırlılığı ise yalnızca iki liderin belirli bir dönemde yapmış oldukları konuşmaların analiz edilmesidir</w:t>
      </w:r>
      <w:r w:rsidR="00E969D2"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 xml:space="preserve">Liderlerin siyasi gruplarındaki diğer üyelerin konuşmaları incelenmemiştir. Ancak, çalışma kapsamında incelenen metnin metinlerarasılığı bakımından özel olarak bir başka alıntıya ihtiyaç duyulması gibi </w:t>
      </w:r>
      <w:r w:rsidR="003770A6" w:rsidRPr="00E97E0B">
        <w:rPr>
          <w:rFonts w:ascii="Times New Roman" w:eastAsia="Calibri" w:hAnsi="Times New Roman" w:cs="Times New Roman"/>
          <w:sz w:val="24"/>
          <w:szCs w:val="24"/>
        </w:rPr>
        <w:t>i</w:t>
      </w:r>
      <w:r w:rsidRPr="00E97E0B">
        <w:rPr>
          <w:rFonts w:ascii="Times New Roman" w:eastAsia="Calibri" w:hAnsi="Times New Roman" w:cs="Times New Roman"/>
          <w:sz w:val="24"/>
          <w:szCs w:val="24"/>
        </w:rPr>
        <w:t>stisnalar yer almaktadır. Çalışmada bu tür istisnalar sayıca çok azdır ve bu istisnalar yalnızca yapılan analizde yorulamaya yardımcı unsur olarak değinilmiştir. Ayrıca çalışmada kurum ve kuruluşlar siyasi partiler dışında ülke içi öteki olarak olarak alınmamıştır. Bunun nedeni, devlet yöneticileri ve kurumlar arasındaki ilişkilerde çelişki ve çatışmalar, kurumların sosyal ve siyasal bir grup olarak değerlendirildiği anlamına değil, sosyal, siyasi ve ideolojik grupların da o kurumlarda yer aldığı anlamına geliyor olmasıdır. Ancak yine liderlerin kurumları nasıl algıladıklarına dair bir söylem çözümlemesinin başkaca bir çalışmanın konusu olabileceği düşünülmektedir.</w:t>
      </w:r>
    </w:p>
    <w:p w14:paraId="170F434C" w14:textId="0C007625" w:rsidR="002858AE" w:rsidRPr="00E97E0B" w:rsidRDefault="005534D6" w:rsidP="00E93FD2">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 çalışma, Van Dijk’ın literatüre kazandırmış olduğu eleştirel söylem analizi (ESA) çerçevesinde, Fransa ve Türkiye örnekleri üzerinden, farklı liderlerin öteki konumlandırmalarına ilişkin benzerlik ve farklılıkları ele almaktadır. Çalışmada, 2007-2012 yıllarında iktidarda olan Fransa Cumhurbaşkanı Nicolas Sarkozy ve Türkiye Cumhuriyeti Başbakanı Recep Tayyip Erdoğan’ın söylemlerine yer verilmiş ve öteki konumlandırmalarını hangi söylemsel stratejiler ile yaptıklarına ilişkin çözümlemeler yapılmıştır. Her iki liderin, etnik gruplar ve siyasi partiler hakkındaki söylemlerinin incelendiği çalışmada, hangi söylemsel stratejileri ağırlıklı olarak kullandıkları ve hangi söylemsel stratejilerinde farklılıklar olduğu odak noktası olarak belirlenmiştir. Bu doğrultuda, çalışmada, 2007-2012 dönemlerinde iktidarda olan ve sağ ideolojiye mensup yöneticilerin ötekileri olan, birbirinden farklı etnik gruplar ve siyasi partiler üzerinden, liderlerin öteki konumlandırmasında tercih ettikleri söylemsel stratejilerin benzer olduğu varsayımı değerlendirilmiştir. Eleştirel Söylem Analizi (ESA)’nin çalışmanın </w:t>
      </w:r>
      <w:r w:rsidRPr="00E97E0B">
        <w:rPr>
          <w:rFonts w:ascii="Times New Roman" w:eastAsia="Calibri" w:hAnsi="Times New Roman" w:cs="Times New Roman"/>
          <w:sz w:val="24"/>
          <w:szCs w:val="24"/>
        </w:rPr>
        <w:lastRenderedPageBreak/>
        <w:t>yöntemi olarak seçilmesinin nedeni, biz ve onlar ayrımına odaklanan bir analiz çerçevesinin, sosyal kimlik gibi dinamik bir süreci anlamak ve incelemek bakımından faydalı ve pratik bir analiz metodu olacağı görüşüdür.</w:t>
      </w:r>
    </w:p>
    <w:p w14:paraId="3F956DA3" w14:textId="0934CAE3" w:rsidR="002858AE" w:rsidRPr="00E97E0B" w:rsidRDefault="002858AE" w:rsidP="00553AE1">
      <w:pPr>
        <w:pStyle w:val="Heading2"/>
        <w:numPr>
          <w:ilvl w:val="1"/>
          <w:numId w:val="29"/>
        </w:numPr>
      </w:pPr>
      <w:bookmarkStart w:id="9" w:name="_Toc141133051"/>
      <w:r w:rsidRPr="00E97E0B">
        <w:t>Araştırmanın Yöntemi</w:t>
      </w:r>
      <w:bookmarkEnd w:id="9"/>
    </w:p>
    <w:p w14:paraId="629BD470"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b/>
          <w:bCs/>
          <w:sz w:val="24"/>
          <w:szCs w:val="24"/>
        </w:rPr>
        <w:tab/>
      </w:r>
      <w:r w:rsidRPr="00E97E0B">
        <w:rPr>
          <w:rFonts w:ascii="Times New Roman" w:eastAsia="Calibri" w:hAnsi="Times New Roman" w:cs="Times New Roman"/>
          <w:b/>
          <w:bCs/>
          <w:sz w:val="24"/>
          <w:szCs w:val="24"/>
        </w:rPr>
        <w:tab/>
      </w:r>
      <w:r w:rsidRPr="00E97E0B">
        <w:rPr>
          <w:rFonts w:ascii="Times New Roman" w:eastAsia="Calibri" w:hAnsi="Times New Roman" w:cs="Times New Roman"/>
          <w:sz w:val="24"/>
          <w:szCs w:val="24"/>
        </w:rPr>
        <w:t>Araştırmanın yöntemsel çerçevesi Eleştirel Söylem Analizidir. (ESA). ESA kapsamında söylem, toplumsal gruplar arasında, onları çevreleyen olaylar, durumlar ve sosyal yapı ve kurumlar yani aktör-yapı ikiliği üzerinden kurulan diyaletik ilişkileri “sosyal pratikler” olarak kabul edilmektedir. Buna göre kurulan bu ilişkiler çerçevesinde söylem, bahsi geçen aktör, yapı ve kurumları etkilediği gibi onlardan etkilenmektedir. Ele alınan kesitler her iki konuşmacının metin kesitlerinin ayrı ayrı analiz edildiği iki ana bölümden oluşmaktadır. Bu çalışmada, ESA kapsamında, kesitlerin içerdiği temaların siyasi bağlamlarındaki öteki unsurlarının nasıl konumlandırıldığına, bu konumlandırmaların nasıl bir bütünlük oluşturduğuna ve her iki liderin öteki olana bakışları ve söylemsel özelliklerindeki benzerlik ve farklılıkların neler olduğuna odaklanılmıştır. Metin analizleri, Teun A. Van Dijk’ın biz-onlar karşıtlığına, iç grup dış grup belirleme esasına dayanan, göçmen ve yabancı unsuruna dair analizlerinde kullanmış olduğu çerçeve esas alınarak incelenmiştir. ESA’da konuşmaların içerisinde kullanılan ideolojik çözümlemelerin kategorileri ışığında, nitel bir çerçeve sunarak konuşmacıların anlam dünyasına ve hangi toplumsal grubu kendi iç grubuna ne ölçüde dahil ettiklerine, hangi grupları ne düzeyde dış grupta konumlandırdığı üzerinden siyasi, ideolojik ve stratejik konumların siyaset diline nasıl yansıdığı incelenmiştir. Bu incelemenin sebebi, toplumsal grupların üyelerinin, o grupların üyeleri olarak hareket ettiklerinde diğer gruplara olan bakışlarını ideolojik olarak eylemlerine ve etkileşimlerine taşıdıklarından öteki olana karşı bir pozisyonu benimseyecek oldukları kabulüdür.</w:t>
      </w:r>
      <w:r w:rsidRPr="00E97E0B">
        <w:rPr>
          <w:rFonts w:ascii="Times New Roman" w:eastAsia="Calibri" w:hAnsi="Times New Roman" w:cs="Times New Roman"/>
          <w:sz w:val="24"/>
          <w:szCs w:val="24"/>
          <w:vertAlign w:val="superscript"/>
        </w:rPr>
        <w:footnoteReference w:id="9"/>
      </w:r>
      <w:r w:rsidRPr="00E97E0B">
        <w:rPr>
          <w:rFonts w:ascii="Times New Roman" w:eastAsia="Calibri" w:hAnsi="Times New Roman" w:cs="Times New Roman"/>
          <w:sz w:val="24"/>
          <w:szCs w:val="24"/>
        </w:rPr>
        <w:t xml:space="preserve"> </w:t>
      </w:r>
    </w:p>
    <w:p w14:paraId="0F31BECE" w14:textId="16D6B416"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ESA’da güç merkezî bir öneme sahiptir. Bu bağlamda Van Dijk, grupları birbirine göre tanımlarken kullanılan gücü bir kontrol aracı olarak kullanmaktadır. Bu kontrol, gruplararası etkileşim açısından bir grubun diğer grupların düşünce ve </w:t>
      </w:r>
      <w:r w:rsidRPr="00E97E0B">
        <w:rPr>
          <w:rFonts w:ascii="Times New Roman" w:eastAsia="Calibri" w:hAnsi="Times New Roman" w:cs="Times New Roman"/>
          <w:sz w:val="24"/>
          <w:szCs w:val="24"/>
        </w:rPr>
        <w:lastRenderedPageBreak/>
        <w:t>davranışlarını yönlendirme kapasitesi olarak tarif edilmektedir.</w:t>
      </w:r>
      <w:r w:rsidRPr="00E97E0B">
        <w:rPr>
          <w:rFonts w:ascii="Times New Roman" w:eastAsia="Calibri" w:hAnsi="Times New Roman" w:cs="Times New Roman"/>
          <w:sz w:val="24"/>
          <w:szCs w:val="24"/>
          <w:vertAlign w:val="superscript"/>
        </w:rPr>
        <w:footnoteReference w:id="10"/>
      </w:r>
      <w:r w:rsidRPr="00E97E0B">
        <w:rPr>
          <w:rFonts w:ascii="Times New Roman" w:eastAsia="Calibri" w:hAnsi="Times New Roman" w:cs="Times New Roman"/>
          <w:sz w:val="24"/>
          <w:szCs w:val="24"/>
        </w:rPr>
        <w:t xml:space="preserve"> İktidar olan aktörlerin söylemine odaklanılan bu araştırmada da, toplum, tarih siyaset ve kültürle yakından ilişkili bir alan olarak gören ve özellikle etnisite, kültür ve dünya görüşü bakımından farklı gruplarla diyalektik ilişkileri ve eşitsizlik unsurlarını ele alan Van Dijk’ın yöntemini esas almak uygun görülmüştür. </w:t>
      </w:r>
    </w:p>
    <w:p w14:paraId="0271B0D1" w14:textId="59203FF1"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Van Dijk’ın analiz tasvirinde </w:t>
      </w:r>
      <w:r w:rsidRPr="00E97E0B">
        <w:rPr>
          <w:rFonts w:ascii="Times New Roman" w:eastAsia="Calibri" w:hAnsi="Times New Roman" w:cs="Times New Roman"/>
          <w:i/>
          <w:iCs/>
          <w:sz w:val="24"/>
          <w:szCs w:val="24"/>
        </w:rPr>
        <w:t>İdeolojik Söylem Yapıları</w:t>
      </w:r>
      <w:r w:rsidRPr="00E97E0B">
        <w:rPr>
          <w:rFonts w:ascii="Times New Roman" w:eastAsia="Calibri" w:hAnsi="Times New Roman" w:cs="Times New Roman"/>
          <w:sz w:val="24"/>
          <w:szCs w:val="24"/>
        </w:rPr>
        <w:t xml:space="preserve"> ve </w:t>
      </w:r>
      <w:r w:rsidRPr="00E97E0B">
        <w:rPr>
          <w:rFonts w:ascii="Times New Roman" w:eastAsia="Calibri" w:hAnsi="Times New Roman" w:cs="Times New Roman"/>
          <w:i/>
          <w:iCs/>
          <w:sz w:val="24"/>
          <w:szCs w:val="24"/>
        </w:rPr>
        <w:t>İdeolojik Çözümlemenin Kategorileri</w:t>
      </w:r>
      <w:r w:rsidRPr="00E97E0B">
        <w:rPr>
          <w:rFonts w:ascii="Times New Roman" w:eastAsia="Calibri" w:hAnsi="Times New Roman" w:cs="Times New Roman"/>
          <w:sz w:val="24"/>
          <w:szCs w:val="24"/>
        </w:rPr>
        <w:t xml:space="preserve"> olarak tanımlanan iki önemli boyut mevcuttur. Bu kavramların ilkinde, söylemin içerdiği anlam, içerdiği konular, tanımdaki ayrıntılar, varsayımlar, metinde oluşturulan anlamın iç tutarlılı</w:t>
      </w:r>
      <w:r w:rsidR="00814EDF" w:rsidRPr="00E97E0B">
        <w:rPr>
          <w:rFonts w:ascii="Times New Roman" w:eastAsia="Calibri" w:hAnsi="Times New Roman" w:cs="Times New Roman"/>
          <w:sz w:val="24"/>
          <w:szCs w:val="24"/>
        </w:rPr>
        <w:t>ğı</w:t>
      </w:r>
      <w:r w:rsidRPr="00E97E0B">
        <w:rPr>
          <w:rFonts w:ascii="Times New Roman" w:eastAsia="Calibri" w:hAnsi="Times New Roman" w:cs="Times New Roman"/>
          <w:sz w:val="24"/>
          <w:szCs w:val="24"/>
        </w:rPr>
        <w:t>, benzer ifadelerle anlamın güçlendirilmesi (eşanlamlılık ve yeniden anlatım), örneklendirmeler, kanıt sunma ve dolaylılık, vurgular ve metnin iç bağlamında mantık yürütme (uslamlama) yapı ve stratejileri analiz edilmektedir. İkinci boyut olarak kategorilerde ise bu yapıların içinde ya da beraberinde yer alan stratejik unsurlar ele alınmaktadır. Bu unsurlar, öteki aktörü tanımlama, durumu tanımlama, sınıflandırma, karşılaştırma, genelleştirme, kurbanlaştırma, kardeşlik, metafor, kural ifadeleri, dürüstlük, dramatikleştirme, karşı gerçeklik, ima, empati, kendini olumlu gösterme ya da iyi niyet gösterme, kutuplaştırma, ötekini kötü, gösterme olarak örneklendirilebilir.</w:t>
      </w:r>
      <w:r w:rsidRPr="00E97E0B">
        <w:rPr>
          <w:rFonts w:ascii="Times New Roman" w:eastAsia="Calibri" w:hAnsi="Times New Roman" w:cs="Times New Roman"/>
          <w:sz w:val="24"/>
          <w:szCs w:val="24"/>
          <w:vertAlign w:val="superscript"/>
        </w:rPr>
        <w:footnoteReference w:id="11"/>
      </w:r>
      <w:r w:rsidRPr="00E97E0B">
        <w:rPr>
          <w:rFonts w:ascii="Times New Roman" w:eastAsia="Calibri" w:hAnsi="Times New Roman" w:cs="Times New Roman"/>
          <w:sz w:val="24"/>
          <w:szCs w:val="24"/>
        </w:rPr>
        <w:t xml:space="preserve"> Çalışmada bu yapı ve stratejiler, kullanılan kesitlerde taranarak, tespit edilenler gösterilmiştir. Konuşmacıların, söylemleri ötekine dair anlam dünyası, içlerinde bulundukları makro ve mikro yapı, sosyal ve siyasi bağlam ve şartlar göz önünde bulundurularak tahlil edilmiştir. </w:t>
      </w:r>
    </w:p>
    <w:p w14:paraId="5E98FC71" w14:textId="432200DB"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Van Dijk’ın ESA tanımlamasında üç düzeyde analiz yapılmaktadır. Bunların ilki makro düzeydir. Makro düzeyde, metnin de bağlamı olan siyasi ve toplumsal bağlam ele alınmaktadır. Mezo düzeyde ise konuşmalar ve metinlerarasılık ön plana çıkmaktadır. Mikro analiz düzeyinde ise metin ve metnin yapısı ve içeriği incelenmektedir. Bu çalışmada analizler için Van Dijk’ın öne sürdüğü bu boyutlar göz önünde bulundurulmuştur. Ayrıca tüm ESA yaklaşımlarında olduğu gibi düşünümsellik (reflexivity) kavramı bu araştırmada benimsenmiştir. Düşünümsellik, araştırmanın analitik yaklaşımını yalnızca bir </w:t>
      </w:r>
      <w:r w:rsidRPr="00E97E0B">
        <w:rPr>
          <w:rFonts w:ascii="Times New Roman" w:eastAsia="Calibri" w:hAnsi="Times New Roman" w:cs="Times New Roman"/>
          <w:sz w:val="24"/>
          <w:szCs w:val="24"/>
        </w:rPr>
        <w:lastRenderedPageBreak/>
        <w:t xml:space="preserve">gözlemcinin değerlendirmesini değil, aynı zamanda söylemdeki perspektifi şeffaf bir şekilde anlam inşasına dahil eden konumu ifade etmekedir. Buna göre, araştırmacı bir taraftan gözlemci konumunda olup diğer taraftan da anlam inşasında rol oynamaktadır. Böylelikle araştırmanın, bilimsel çalışmalarda değerlendirilirken metodunu tarafsız olamayacağı ilkesini kabul ederek çalışmanın daha sağlıklı değerlendirebileceği ve bu durum göz önünde bulundurularak yapılabilecek çıkarsamaların katkı sağlanması hedeflenmektedir. Burada araştırmanın konumu, iktidar temsilcilerinin siyasi ötekilerini kendi iç grupları perspektifindeki konumlarını dikkate alarak hem yansıttığı hem de iktidarlarını pekiştirme amacıyla yeniden pekiştirerek tanımladığına dair bir çerçevedir. </w:t>
      </w:r>
    </w:p>
    <w:p w14:paraId="2E1975F0"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Araştırma için Van Dijk’ın bahsi geçen ESA yaklaşımının benimsenmesi incelenen konuşmacıların iktidar olmasıyla ilişkilidir. Esasında, Van Dijk da, söylemi bir tahakküm aracı olarak kullanan güçlü grubun elitlerinin, milliyetçilik ve etnosantrizm konularındaki söylemlerinde var olan yapı ve anlamları öteki unsuruna odaklanarak analiz etmiştir.</w:t>
      </w:r>
      <w:r w:rsidRPr="00E97E0B">
        <w:rPr>
          <w:rFonts w:ascii="Times New Roman" w:eastAsia="Calibri" w:hAnsi="Times New Roman" w:cs="Times New Roman"/>
          <w:sz w:val="24"/>
          <w:szCs w:val="24"/>
          <w:vertAlign w:val="superscript"/>
        </w:rPr>
        <w:footnoteReference w:id="12"/>
      </w:r>
    </w:p>
    <w:p w14:paraId="21CE3E79"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Van Dijk, söylemi muhatabının zihnine yönelik (bilişsel) bir anlam şekillendirme süreci üzerinden değerlendirmektedir. Buradaki anlam, kişisel açıdan ve toplumsal açıdan olmak üzere iki kategoride değerlendirilebilir. Nasıl kişi kendi hafızasında çağrıştırılan anlamları bir söylemin ortaya çıkması üzerine yeniden şekillendiriyorsa, toplumsal olarak paylaşılan deneyim vasıtasıyla benzer bir süreç, söylem karşısında toplumun zihninde de dönüşmektedir. Bu süreç, çeşitli kategorilerin bir kompozisyonu olan konvansiyonel şemalar üzerinden </w:t>
      </w:r>
      <w:r w:rsidRPr="00E97E0B">
        <w:rPr>
          <w:rFonts w:ascii="Times New Roman" w:eastAsia="Calibri" w:hAnsi="Times New Roman" w:cs="Times New Roman"/>
          <w:i/>
          <w:iCs/>
          <w:sz w:val="24"/>
          <w:szCs w:val="24"/>
        </w:rPr>
        <w:t>genre</w:t>
      </w:r>
      <w:r w:rsidRPr="00E97E0B">
        <w:rPr>
          <w:rFonts w:ascii="Times New Roman" w:eastAsia="Calibri" w:hAnsi="Times New Roman" w:cs="Times New Roman"/>
          <w:sz w:val="24"/>
          <w:szCs w:val="24"/>
        </w:rPr>
        <w:t xml:space="preserve"> adı verilen türün varlığıyla mümkündür. Ortak ve toplumsal anlamları oluşturan zihinsel şemalar, siyasi söylemi üreten konuşmacı tarafından, subjektif ve spesifik birtakım zihinsel modellemeler yoluyla alıcıya genel bilgi, tavır, ideoloji ve hatta argümantatif bir yapı sunulabilmektedir. Bu aynı zamanda, zihinsel modellerle genelleme ve soyutlama ile çeşitli meselelerde dinleyiciyi yönlendirme amacını taşımaktadır. Aslında Van Dijk’ın ideolojik kare kavramıyla özetlemiş olduğu gruplararası kutuplaştırma vasıtasıyla iç grubun “iyiliğini,” dış grubun “kötülüğünü,” vurgulayan; iç grubun “kötülüğünü” mazur gösteren ve dış grubun “iyiliğini” önemsizleştiren dört taraflı genel strateji, bu çalışmada yürütülen </w:t>
      </w:r>
      <w:r w:rsidRPr="00E97E0B">
        <w:rPr>
          <w:rFonts w:ascii="Times New Roman" w:eastAsia="Calibri" w:hAnsi="Times New Roman" w:cs="Times New Roman"/>
          <w:sz w:val="24"/>
          <w:szCs w:val="24"/>
        </w:rPr>
        <w:lastRenderedPageBreak/>
        <w:t>analizlerde göz önünde bulundurulmuştur. Van Dijk’a göre, güçlü sosyal grupların liderlerinin kamusal söylem üzerinde kontrol imkanları ayrıcalıklı olarak fazladır.</w:t>
      </w:r>
      <w:r w:rsidRPr="00E97E0B">
        <w:rPr>
          <w:rFonts w:ascii="Times New Roman" w:eastAsia="Calibri" w:hAnsi="Times New Roman" w:cs="Times New Roman"/>
          <w:sz w:val="24"/>
          <w:szCs w:val="24"/>
          <w:vertAlign w:val="superscript"/>
        </w:rPr>
        <w:footnoteReference w:id="13"/>
      </w:r>
      <w:r w:rsidRPr="00E97E0B">
        <w:rPr>
          <w:rFonts w:ascii="Times New Roman" w:eastAsia="Calibri" w:hAnsi="Times New Roman" w:cs="Times New Roman"/>
          <w:sz w:val="24"/>
          <w:szCs w:val="24"/>
        </w:rPr>
        <w:t xml:space="preserve"> Bu durum, iktidarda olan liderlerin seçilmesinde önemli bir etken olmuştur; çünkü her iki vakada da iktidar grubunun perspektifini ve söylemini en başarılı biçimde temsil edecek kişilerin liderleri olduğu varsayılmaktadır. </w:t>
      </w:r>
    </w:p>
    <w:p w14:paraId="003F69F9"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Araştırmada her iki liderin, ülkelerinin siyasi tarih ve sistemleri, toplumsal yapıları, öteki olmaya aday kimlikleri ve liderlerin incelendiği dönemdeki genel bağlamları hakkında bilgiler verilmiştir. Bu bilgilerin ışığında, ülkelerinde iktidar grubunun ötekisi olma özelliğinin en belirgin olduğu liderlerinin konuşmalarından tespit edilen ülke içi toplumsal gruplar başlıklandırılmıştır. Bu başlıklarda, liderlerin konuşmalarında ele alınan grupla ilgili en geniş çeşitlilikte yapmış olduğu tanımları içerdiği tespit edilen konuşma kesitlerine yer verilmiştir. Bu kesitler, Van Dijk’ın önermiş olduğu ideolojik çözümleme kategorileri açısından tespit edilen kategoriler metin içine eklenmiş ardından da metodolojide bahsedilen doğrultuda analiz edilmiştir. Ayrı ayrı incelenen iki liderin benzerlik ve farklılıkları da sonuç bölümünde ayrıca tartışılmıştır.</w:t>
      </w:r>
    </w:p>
    <w:p w14:paraId="1BD129E9"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Çalışmada siyasi aktörlerin öteki unsurunu konumlandırılması, Van Dijk’ın genel çerçevesini çizdiği teorik yaklaşım esas alınarak incelenmiştir. Özenli okumalar ve konuşma kesiti seçimlerinin ardından öteki unsuru olan toplumsal kesimlerin konumları hakkında verili bir zaman kapsamı içinde inceleme yapılarak siyasi aktörlerin temsil ettiği siyasi yapının ötekilerini anlamaya ve ötekilerinin nasıl bir çerçevede ele alındığına bir katkı sunmak hedeflenmiştir.</w:t>
      </w:r>
    </w:p>
    <w:p w14:paraId="424188D1" w14:textId="62A9E89D" w:rsidR="002858AE" w:rsidRPr="00E97E0B" w:rsidRDefault="00ED4B64" w:rsidP="00553AE1">
      <w:pPr>
        <w:pStyle w:val="Heading2"/>
      </w:pPr>
      <w:bookmarkStart w:id="10" w:name="_Toc141133052"/>
      <w:r w:rsidRPr="00E97E0B">
        <w:t>1</w:t>
      </w:r>
      <w:r w:rsidR="002858AE" w:rsidRPr="00E97E0B">
        <w:t>.</w:t>
      </w:r>
      <w:r w:rsidRPr="00E97E0B">
        <w:t>2</w:t>
      </w:r>
      <w:r w:rsidR="002858AE" w:rsidRPr="00E97E0B">
        <w:t>. Analiz Çerçevesi</w:t>
      </w:r>
      <w:bookmarkEnd w:id="10"/>
      <w:r w:rsidR="002858AE" w:rsidRPr="00E97E0B">
        <w:t xml:space="preserve"> </w:t>
      </w:r>
    </w:p>
    <w:p w14:paraId="672A927D"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Erdoğan ve Sarkozy’nin seçilen açıklamaları ve konuşma metinleri araştırmanın ana konusu olan konuşmacıların ötekilerini belirleme 2007-2012 yıllarıyla sınırlı kalacak biçimde incelenmiştir. Liderlerin açıklama ve konuşmaları mümkün olduğu kadar okunmuş ve genel olarak incelenmiş ve öncelikle kendisini benzerleriyle sıkça tekrar eden konuşmalara odaklanılmıştır. Ardından, kendisini oldukça az tekrar ettiği veya bir defaya mahsus söylenen, ancak öteki olanı </w:t>
      </w:r>
      <w:r w:rsidRPr="00E97E0B">
        <w:rPr>
          <w:rFonts w:ascii="Times New Roman" w:eastAsia="Calibri" w:hAnsi="Times New Roman" w:cs="Times New Roman"/>
          <w:sz w:val="24"/>
          <w:szCs w:val="24"/>
        </w:rPr>
        <w:lastRenderedPageBreak/>
        <w:t xml:space="preserve">tanımlama açısından önemli ve anlamlı olabileceği tespit edilen konuşmalara odaklanılmıştır. Bu iki tür metin içinden en yoğun ve bütünlüklü bir biçimde </w:t>
      </w:r>
      <w:r w:rsidRPr="00E97E0B">
        <w:rPr>
          <w:rFonts w:ascii="Times New Roman" w:eastAsia="Calibri" w:hAnsi="Times New Roman" w:cs="Times New Roman"/>
          <w:i/>
          <w:iCs/>
          <w:sz w:val="24"/>
          <w:szCs w:val="24"/>
        </w:rPr>
        <w:t>öteki</w:t>
      </w:r>
      <w:r w:rsidRPr="00E97E0B">
        <w:rPr>
          <w:rFonts w:ascii="Times New Roman" w:eastAsia="Calibri" w:hAnsi="Times New Roman" w:cs="Times New Roman"/>
          <w:sz w:val="24"/>
          <w:szCs w:val="24"/>
        </w:rPr>
        <w:t>ni açıklayan konuşmalar, benzerleri içinden seçilerek analize dahil edilmiştir. Bir diğer ifadeyle ötekileri olumlu ya da olumsuz anlam yükleyecek şekilde en sınır noktada ifade ettiği belirlenen ve doğrudan öteki olanı tanımlamaya ve açıklamaya yönelik konuşmaların en yoğun olduğu örneklerden en sade olanların seçilmesine özen gösterilmiştir. Seçilen konuşma kesitlerinin metinleri, çeşitli konuşma metinlerinden çoğunlukla ayrı ayrı alınmıştır. Bazı konuşma metinlerinde daha uzun ve bütünlüklü bir biçimde konu kapsamına giren kesitler mevcut iken; aranan en keskin veya açık tanımlar çoğunlukla aynı metin içerisinde yer almamaktadır. Bu nedenle farklı meseleler üzerine yapılan konuşma kesitlerinin incelemede faydalı olabileceği düşünülerek konuşma metinleri çeşitliliği gözetilmiştir.</w:t>
      </w:r>
    </w:p>
    <w:p w14:paraId="6742BA12"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Yapılan araştırmada incelenmek üzere kararlaştırılan konuşma kesitleri, ele alınan kavramlar, konu başlıkları ve temalara uygun olacak şekilde belirlenmiştir. Araştırmanın kapsamı, seçilen liderlerin konuşmalarında en çok kendi ülkelerinde bulunan ve öteki olarak dile getirilen etnik, dinsel ve siyasi grupların incelenmesi şeklinde belirlenmiştir. Etnik gruplar, farklı dilleri konuşan farklı kültürel aidiyetlere sahip ve çoğu zaman ülkenin genelinde farklı inanç sistemlerine bağlı gruplardır. Metinde ele alınan gruplar içinde ülke içi öteki olarak en sık öne çıkan kategoriler tespit edildikten sonra belirlenmiştir. Siyasi gündemde yer edinen ve ülke nüfusuna oranla hatırı sayılır nüfusları olan bu gruplara yönelik konuşmalar ağırlıklı olarak bu tespit edilen gruplara yöneliktir. Aynı zamanda bu gruplar, siyasilerin konuşmalarındaki öteki olarak konumlanmaları bakımından, öne çıkmaktadır. Bu nedenle, bu grupların tanımlandığı konuşma kesitleri, onları olumlu ve olumsuz biçimde tanımladıkları en belirgin ve detaylı konuşma kesitlerinden seçilmiştir. Bulunan kesitler pek çok tür metin ve kaynaktan yararlanarak elde edilmiştir. Esasen Erdoğan için, Türkiye’nin resmi Cumhurbaşkanlığı internet sitesinde yer alan ve yazıya geçirilmiş miting, açıklama ve hitaplarından faydalanılmıştır. Aynı şekilde Sarkozy’nin devletin internet sitesindeki konuşma arşivlerinden, ulusa sesleniş konuşmaları ve çeşitli ziyaretlerde gerçekleştirdiği konuşmalar kaynak alınmıştır. Ancak her iki lider için de resmi kayıtlarda rastlanamayan ancak araştırma sırasında gazete ve haber </w:t>
      </w:r>
      <w:r w:rsidRPr="00E97E0B">
        <w:rPr>
          <w:rFonts w:ascii="Times New Roman" w:eastAsia="Calibri" w:hAnsi="Times New Roman" w:cs="Times New Roman"/>
          <w:sz w:val="24"/>
          <w:szCs w:val="24"/>
        </w:rPr>
        <w:lastRenderedPageBreak/>
        <w:t>kanallarında yer alan bazı konuşmaları da söylem bütünlüğünü sağlayacak şekilde seçilerek analizde kullanılmıştır.</w:t>
      </w:r>
    </w:p>
    <w:p w14:paraId="05E93DA1" w14:textId="7187773F"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Konuşma metinlerinin seçiminde, 1) Söz konusu öteki unsuru hakkında sık sık tekrar eden olumlu-olumsuz konumlandırıcı içerikli konuşmalar 2) Sık tekrar etmediği halde en çok dikkat çeken ve destekçileri ya da muhalifleri tarafından propaganda veya polemik unsuru olan konuşma ve açıklamalar 3) Genel Tanım yapmak suretiyle çok sık olmasa dahi ötekini belirledikleri tekrar eden konuşmalar seçilmiştir. Konuşmaların kaynakları, resmî devlet sitelerinde yer alan bağlantılar ve konuşmaların yayımlandığı resmî yayınlar ile konuşma videoları, tam veya parça halindeki metinlerin yer aldığı haber siteleri, konuşma </w:t>
      </w:r>
      <w:r w:rsidR="00DD00FD" w:rsidRPr="00E97E0B">
        <w:rPr>
          <w:rFonts w:ascii="Times New Roman" w:eastAsia="Calibri" w:hAnsi="Times New Roman" w:cs="Times New Roman"/>
          <w:sz w:val="24"/>
          <w:szCs w:val="24"/>
        </w:rPr>
        <w:t>belgelerinin</w:t>
      </w:r>
      <w:r w:rsidRPr="00E97E0B">
        <w:rPr>
          <w:rFonts w:ascii="Times New Roman" w:eastAsia="Calibri" w:hAnsi="Times New Roman" w:cs="Times New Roman"/>
          <w:sz w:val="24"/>
          <w:szCs w:val="24"/>
        </w:rPr>
        <w:t xml:space="preserve"> yer aldığı dizinlerdir. Yalnızca videolarına erişilebilen birkaç konuşma araştırmacı tarafından deşifre edilerek araştırmada kullanılmıştır. Fransa cumhurbaşkanının konuşmalarının tez içinde kullanılan tüm Türkçe tercümeleri araştırmacı tarafından yapılmıştır. Araştırma kapsamında Fransızca konuşma kesitlerinin metinlerinden Türkçeye yapılan tercümelerde her iki dilin yapı, anlam, biçim özelliklerinin yanında Fransa’nın siyasi bağlamı göz önünde bulundurulmuştur. Çeviri metinlerin anlamını en doğru şekilde yansıtma gayreti içinde özenle hazırlanmıştır. </w:t>
      </w:r>
    </w:p>
    <w:p w14:paraId="5FEDEAFB"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Metinler bahsi geçen zaman içinde kalan konuşmalardan seçilmiş olup, incelenen öteki unsuruna dair kronolojik bir değişim söz konusu olduğunda bu durum dikkate alınmıştır. İncelenen öteki unsuruna dair birbiriyle çelişen veya farklı açıdan betimleyen bir konuşmaya rastlandığında onunla ilgili kesitlere de yer verilmiştir.</w:t>
      </w:r>
    </w:p>
    <w:p w14:paraId="451C7A72" w14:textId="77777777" w:rsidR="00575F63" w:rsidRDefault="002858AE" w:rsidP="002858AE">
      <w:pPr>
        <w:spacing w:before="120" w:after="120" w:line="360" w:lineRule="auto"/>
        <w:ind w:firstLine="720"/>
        <w:jc w:val="both"/>
        <w:rPr>
          <w:rFonts w:ascii="Times New Roman" w:eastAsia="Calibri" w:hAnsi="Times New Roman" w:cs="Times New Roman"/>
          <w:sz w:val="24"/>
          <w:szCs w:val="24"/>
        </w:rPr>
        <w:sectPr w:rsidR="00575F63" w:rsidSect="00140CEB">
          <w:footerReference w:type="default" r:id="rId11"/>
          <w:type w:val="continuous"/>
          <w:pgSz w:w="11906" w:h="16838"/>
          <w:pgMar w:top="1418" w:right="1701" w:bottom="1418" w:left="2268" w:header="720" w:footer="720" w:gutter="0"/>
          <w:pgNumType w:start="1"/>
          <w:cols w:space="720"/>
          <w:docGrid w:linePitch="360"/>
        </w:sectPr>
      </w:pPr>
      <w:r w:rsidRPr="00E97E0B">
        <w:rPr>
          <w:rFonts w:ascii="Times New Roman" w:eastAsia="Calibri" w:hAnsi="Times New Roman" w:cs="Times New Roman"/>
          <w:sz w:val="24"/>
          <w:szCs w:val="24"/>
        </w:rPr>
        <w:t>Seçilen konuşmaların, liderin konu edilen grup veya toplumu kendi siyasi konumu açısından en detaylı ve belirgin şekilde tanımladığı kesitler olmasına özen gösterilmiştir. Böylelikle her iki liderin arasındaki diğer gruplara nasıl baktığı konusunda benzerlik ve farklılıklar anlaşılmaya ve tasvir edilmeye çalışılmıştır. Bu araştırmada, sağ veya merkez sağda konumlanan liderlerin, kendi siyasi ve ideolojik yaklaşımlarının temsilcisi olarak kabul edilmesi sebebiyle, iktidarda olan grup ya da grupların kendilerini ve aynı dönem içinde kendi ülke içi ötekilerini nasıl tanımladıklarının anlaşılması ile benzer eğilimlerde olan iki farklı ülke liderinin öteki olanları konumlandırma tarz ve stratejilerindeki farklılık ve benzerliklerin incelenmesi amaçlanmıştır.</w:t>
      </w:r>
    </w:p>
    <w:p w14:paraId="1F7DF3C3" w14:textId="37E9035F" w:rsidR="002858AE" w:rsidRPr="00E97E0B" w:rsidRDefault="002858AE" w:rsidP="00ED4B64">
      <w:pPr>
        <w:keepNext/>
        <w:keepLines/>
        <w:spacing w:before="1800" w:after="360" w:line="360" w:lineRule="auto"/>
        <w:jc w:val="center"/>
        <w:outlineLvl w:val="0"/>
        <w:rPr>
          <w:rFonts w:ascii="Times New Roman" w:eastAsia="Times New Roman" w:hAnsi="Times New Roman" w:cs="Times New Roman"/>
          <w:b/>
          <w:color w:val="000000"/>
          <w:sz w:val="28"/>
          <w:szCs w:val="32"/>
        </w:rPr>
      </w:pPr>
      <w:bookmarkStart w:id="11" w:name="_Toc141133053"/>
      <w:r w:rsidRPr="00E97E0B">
        <w:rPr>
          <w:rFonts w:ascii="Times New Roman" w:eastAsia="Times New Roman" w:hAnsi="Times New Roman" w:cs="Times New Roman"/>
          <w:b/>
          <w:color w:val="000000"/>
          <w:sz w:val="28"/>
          <w:szCs w:val="32"/>
        </w:rPr>
        <w:lastRenderedPageBreak/>
        <w:t>BÖLÜM 2</w:t>
      </w:r>
      <w:bookmarkEnd w:id="11"/>
    </w:p>
    <w:p w14:paraId="3DFD4CCB" w14:textId="5E924586" w:rsidR="002858AE" w:rsidRPr="00E97E0B" w:rsidRDefault="00F8554F" w:rsidP="006211E3">
      <w:pPr>
        <w:pStyle w:val="Heading1"/>
        <w:jc w:val="center"/>
      </w:pPr>
      <w:bookmarkStart w:id="12" w:name="_Toc141133054"/>
      <w:r w:rsidRPr="00E97E0B">
        <w:t>KURAMSAL ÇERÇEVE</w:t>
      </w:r>
      <w:bookmarkEnd w:id="12"/>
    </w:p>
    <w:p w14:paraId="3977D021" w14:textId="77777777" w:rsidR="002858AE" w:rsidRPr="00E97E0B" w:rsidRDefault="002858AE" w:rsidP="002858AE">
      <w:pPr>
        <w:tabs>
          <w:tab w:val="left" w:pos="851"/>
        </w:tabs>
        <w:spacing w:before="240" w:after="120" w:line="360" w:lineRule="auto"/>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ab/>
        <w:t>Söylem, yirminci yüzyıl siyasetinin ve sosyolojisinin anlaşılmasında anahtar role sahip bir kavram olmuştur. Bilhassa sosyal bilimlerde, bilginin anlam kazanmasının ve anlamın da bir şekle bürünmesinin söylem aracılığıyla gerçekleştiğini düşünebiliriz, zira söylem bilgiyi ve düşünceyi yansıtmakla kalmayarak aynı zamanda bunları dönüştürerek, yeniden oluşturma işlevini kazanır. Söylem kavramını anlaşılabilir kılmak üzere geliştirilen açıklamalar ve kullanılan karşılıklara bakıldığında pek çok karşılığın farklı bağlamlarda kullanılabildiği görülmektedir. Ahmet Kocaman’ın saptadığı haliyle Türkçede; etkili söz söyleme sanatı, felsefe öğretisi, kavramsal dizge, sözlü ve yazılı anlatım türü, üslup, dil hatta sav gibi anlamlara gelecek şekilde kullanılmaktadır.</w:t>
      </w:r>
      <w:r w:rsidRPr="00E97E0B">
        <w:rPr>
          <w:rFonts w:ascii="Times" w:eastAsia="Calibri" w:hAnsi="Times" w:cs="Times New Roman"/>
          <w:color w:val="000000"/>
          <w:sz w:val="24"/>
          <w:szCs w:val="24"/>
          <w:vertAlign w:val="superscript"/>
        </w:rPr>
        <w:footnoteReference w:id="14"/>
      </w:r>
    </w:p>
    <w:p w14:paraId="4478474C" w14:textId="77777777" w:rsidR="002858AE" w:rsidRPr="00E97E0B" w:rsidRDefault="002858AE" w:rsidP="002858AE">
      <w:pPr>
        <w:spacing w:before="120" w:after="20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Ancak söylem tarif edilmesi oldukça zor bir kavramdır. Arkonaç’a göre söylemi tarif etmek, söylemin doğasına uygun bir eylem sayılamaz, zira tarif ve tanımlar kavramı belli bir anlam çerçevesi içinde sınırlayacağından ve yönlendirici olduğundan nerede ne yapılması veya yapılmaması gerektiğini söyler, bu da anlamı dinamik olmaktan çıkaran bir sınırlılığa neden olur. Bu nedenle söylemi belirgin olarak tanımlamak yerine onun ne olduğuna dair fikir vermek daha yerinde görünmektedir.</w:t>
      </w:r>
      <w:r w:rsidRPr="00E97E0B">
        <w:rPr>
          <w:rFonts w:ascii="Times" w:eastAsia="Calibri" w:hAnsi="Times" w:cs="Times New Roman"/>
          <w:sz w:val="24"/>
          <w:szCs w:val="24"/>
          <w:vertAlign w:val="superscript"/>
        </w:rPr>
        <w:footnoteReference w:id="15"/>
      </w:r>
      <w:r w:rsidRPr="00E97E0B">
        <w:rPr>
          <w:rFonts w:ascii="Times" w:eastAsia="Calibri" w:hAnsi="Times" w:cs="Times New Roman"/>
          <w:sz w:val="24"/>
          <w:szCs w:val="24"/>
        </w:rPr>
        <w:t xml:space="preserve"> Bununla birlikte söylemin kendisinin belirli bir tanımla özneleri ve nesneleri sınırlama kabiliyeti olduğunu da belirtmek yerinde olacaktır. Bu denli temel bir konu olan söylemin bu ikircikli özelliği dikkat çekicidir. </w:t>
      </w:r>
    </w:p>
    <w:p w14:paraId="5554091F" w14:textId="77777777" w:rsidR="002858AE" w:rsidRPr="00E97E0B" w:rsidRDefault="002858AE" w:rsidP="002858AE">
      <w:pPr>
        <w:spacing w:before="120" w:after="20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Söylem çeşitli anlamlarla yüklüdür, bunlar temel olarak düzanlam (diliçi) ve yan anlamlardan (dildışı) meydana gelmektedir. Düz anlam zihinde oluşan ilk </w:t>
      </w:r>
      <w:r w:rsidRPr="00E97E0B">
        <w:rPr>
          <w:rFonts w:ascii="Times" w:eastAsia="Calibri" w:hAnsi="Times" w:cs="Times New Roman"/>
          <w:sz w:val="24"/>
          <w:szCs w:val="24"/>
        </w:rPr>
        <w:lastRenderedPageBreak/>
        <w:t>çağrışım olup toplumsal düzlemde genel olarak anlaşılabilmektedir, bununla birlikte yananlam görünenin dışında ya da ötesinde, sosyal, kültürel ve siyasal içeriklere sahiptir. Yananlamlar, kendini; söylemin örtülü veya açık biçimde ilişkisi olan nesnelerle kurulan bağlantılarda, toplumsal bağlamda, benzerliklerine, yakınlıklarına ve karşıtlıklarına göre gösterir. Bundan ötürü söylem, içeriğinde dile getirilen ve getirilmeyen pek çok bağlamı da barındırır.</w:t>
      </w:r>
      <w:r w:rsidRPr="00E97E0B">
        <w:rPr>
          <w:rFonts w:ascii="Times" w:eastAsia="Calibri" w:hAnsi="Times" w:cs="Times New Roman"/>
          <w:sz w:val="24"/>
          <w:szCs w:val="24"/>
          <w:vertAlign w:val="superscript"/>
        </w:rPr>
        <w:footnoteReference w:id="16"/>
      </w:r>
    </w:p>
    <w:p w14:paraId="13EED44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Söylem kavramı kurallardan ve konuşmalardan oluşan muntazam dilsel sistemleri tanımlar.</w:t>
      </w:r>
      <w:r w:rsidRPr="00E97E0B">
        <w:rPr>
          <w:rFonts w:ascii="Times" w:eastAsia="Calibri" w:hAnsi="Times" w:cs="Times New Roman"/>
          <w:sz w:val="24"/>
          <w:szCs w:val="24"/>
          <w:vertAlign w:val="superscript"/>
        </w:rPr>
        <w:footnoteReference w:id="17"/>
      </w:r>
      <w:r w:rsidRPr="00E97E0B">
        <w:rPr>
          <w:rFonts w:ascii="Times" w:eastAsia="Calibri" w:hAnsi="Times" w:cs="Times New Roman"/>
          <w:sz w:val="24"/>
          <w:szCs w:val="24"/>
        </w:rPr>
        <w:t xml:space="preserve"> Söylem, üretilirken sadece içerik üzerinden değil aynı zamanda kimin hangi konum ile kime ve hangi amaçla neyi iletmek istediği ile de var olmaktadır. Söylem tüm bu nitelikleri, tüm iletişim biçimlerini ve unsurlarını içinde barındıran bir kavramdır. Ancak söylemin siyaset bilimi başta olmak üzere pek çok disiplinde iktidara içkin bir kavram olarak kabul edildiğini de hatırlamak yerinde olacaktır. </w:t>
      </w:r>
    </w:p>
    <w:p w14:paraId="4C52CF2F" w14:textId="77777777" w:rsidR="002858AE" w:rsidRPr="00E97E0B" w:rsidRDefault="002858AE" w:rsidP="00E93FD2">
      <w:pPr>
        <w:pStyle w:val="Heading2"/>
      </w:pPr>
      <w:bookmarkStart w:id="16" w:name="_Toc141133055"/>
      <w:r w:rsidRPr="00E97E0B">
        <w:t>2.1. Söylem Kavramı</w:t>
      </w:r>
      <w:bookmarkEnd w:id="16"/>
    </w:p>
    <w:p w14:paraId="1FE30FAC" w14:textId="77777777" w:rsidR="002858AE" w:rsidRPr="00E97E0B" w:rsidRDefault="002858AE" w:rsidP="002858AE">
      <w:pPr>
        <w:tabs>
          <w:tab w:val="left" w:pos="851"/>
        </w:tabs>
        <w:spacing w:before="240" w:after="120" w:line="360" w:lineRule="auto"/>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ab/>
        <w:t xml:space="preserve"> Söylem, hangi vasıtayla olursa olsun, dilin kullanıcısı tarafından anlam içermek koşuluyla ne şekilde ortaya koyulduğunun iletişim değeri bakımından bir bütünsellik içerisinde değerlendirilmesi, tasvir edilmesi ve incelenmesidir. Söylem bağlamdan kopuk bir şekilde değerlendirilemeyeceğinden ona muhtaçtır.</w:t>
      </w:r>
    </w:p>
    <w:p w14:paraId="64DD0BE7" w14:textId="77777777" w:rsidR="002858AE" w:rsidRPr="00E97E0B" w:rsidRDefault="002858AE" w:rsidP="002858AE">
      <w:pPr>
        <w:tabs>
          <w:tab w:val="left" w:pos="851"/>
        </w:tabs>
        <w:spacing w:before="240" w:after="120" w:line="360" w:lineRule="auto"/>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ab/>
        <w:t xml:space="preserve">Doğrudan metin odaklı Anglosakson bakış açısı ile dil ve düşünce arasındaki bağlantıya vurgu yapan Kıta Avrupası yaklaşımı belirgin bir şekilde ayrılır. Ehlich’in tanımlamasına göre Fransız yaklaşımı örneğinde </w:t>
      </w:r>
      <w:r w:rsidRPr="00E97E0B">
        <w:rPr>
          <w:rFonts w:ascii="Times" w:eastAsia="Calibri" w:hAnsi="Times" w:cs="Times New Roman"/>
          <w:i/>
          <w:color w:val="000000"/>
          <w:sz w:val="24"/>
          <w:szCs w:val="24"/>
        </w:rPr>
        <w:t>discours</w:t>
      </w:r>
      <w:r w:rsidRPr="00E97E0B">
        <w:rPr>
          <w:rFonts w:ascii="Times" w:eastAsia="Calibri" w:hAnsi="Times" w:cs="Times New Roman"/>
          <w:color w:val="000000"/>
          <w:sz w:val="24"/>
          <w:szCs w:val="24"/>
        </w:rPr>
        <w:t xml:space="preserve"> söylemin karmaşık bilgi sistemlerinin yaratımı ve toplumsal idamesi anlamı öne çıkarken, Alman yaklaşımında işlevsel edimbilimde </w:t>
      </w:r>
      <w:r w:rsidRPr="00E97E0B">
        <w:rPr>
          <w:rFonts w:ascii="Times" w:eastAsia="Calibri" w:hAnsi="Times" w:cs="Times New Roman"/>
          <w:i/>
          <w:color w:val="000000"/>
          <w:sz w:val="24"/>
          <w:szCs w:val="24"/>
        </w:rPr>
        <w:t>diskurs</w:t>
      </w:r>
      <w:r w:rsidRPr="00E97E0B">
        <w:rPr>
          <w:rFonts w:ascii="Times" w:eastAsia="Calibri" w:hAnsi="Times" w:cs="Times New Roman"/>
          <w:color w:val="000000"/>
          <w:sz w:val="24"/>
          <w:szCs w:val="24"/>
        </w:rPr>
        <w:t xml:space="preserve"> biçim verilmiş konuşma kümeleri anlamına gelmektedir. Buradan anlaşılacağı üzere söylem </w:t>
      </w:r>
      <w:r w:rsidRPr="00E97E0B">
        <w:rPr>
          <w:rFonts w:ascii="Times" w:eastAsia="Calibri" w:hAnsi="Times" w:cs="Times New Roman"/>
          <w:color w:val="000000"/>
          <w:sz w:val="24"/>
          <w:szCs w:val="24"/>
        </w:rPr>
        <w:lastRenderedPageBreak/>
        <w:t>sözcüğünün anlamı çalışma alanının içinde bulunduğu bağlama ve yaklaşımın zeminine göre farklılıklar gösterebilmektedir.</w:t>
      </w:r>
    </w:p>
    <w:p w14:paraId="0F1E95A1" w14:textId="77777777" w:rsidR="002858AE" w:rsidRPr="00E97E0B" w:rsidRDefault="002858AE" w:rsidP="002858AE">
      <w:pPr>
        <w:tabs>
          <w:tab w:val="left" w:pos="851"/>
        </w:tabs>
        <w:spacing w:before="240" w:after="120" w:line="360" w:lineRule="auto"/>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ab/>
        <w:t xml:space="preserve">Söylem, yazında pek çok kavramsallaştırma teşebbüsünün sahası olmuştur. Pek çok yazar kavramın nasıl tanımlanması gerektiği konusunda yaklaşımlarını sunmuş, çeşitli tanımlamalar yapmıştır. </w:t>
      </w:r>
    </w:p>
    <w:p w14:paraId="235F0CDE" w14:textId="77777777" w:rsidR="002858AE" w:rsidRPr="00E97E0B" w:rsidRDefault="002858AE" w:rsidP="002858AE">
      <w:pPr>
        <w:tabs>
          <w:tab w:val="left" w:pos="851"/>
        </w:tabs>
        <w:spacing w:before="240" w:after="120" w:line="360" w:lineRule="auto"/>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ab/>
        <w:t>Sözgelimi, yapısalcılığın en bilinen isimlerinden Saussure söylemi söz sözcüğünün karşılığı olarak tanımlamıştır.  Christian Baylon ise “durum içindeki söz” olarak tanımlayarak söylem kavramsallaştırmasını detaylandırma yoluna gitmiştir. Diğer taraftan söylem cümleötesi bir anlama sahip olmuştur, öyle ki cümlelerden oluşan bir birim değil cümlelerle oluşan bir şeydir. Söylemin biriminin daha ziyade sözce olması fikri daha yaygın bir kabul görmüştür. Söylemin bahsi, konuşan özne tarafından dilin sorumluluğunun alınması olarak da geçer. Farklı kullanımlar içinde dilin edimselleşmesi (actualisation) olarak da dile getirilen bu özellik, gramer kurallarından ve kelimelerden oluşan soyut dilin kullanım alanı bulmasıyla ortaya çıkar.</w:t>
      </w:r>
      <w:r w:rsidRPr="00E97E0B">
        <w:rPr>
          <w:rFonts w:ascii="Times" w:eastAsia="Calibri" w:hAnsi="Times" w:cs="Times New Roman"/>
          <w:color w:val="000000"/>
          <w:sz w:val="24"/>
          <w:szCs w:val="24"/>
          <w:vertAlign w:val="superscript"/>
        </w:rPr>
        <w:footnoteReference w:id="18"/>
      </w:r>
      <w:r w:rsidRPr="00E97E0B">
        <w:rPr>
          <w:rFonts w:ascii="Times" w:eastAsia="Calibri" w:hAnsi="Times" w:cs="Times New Roman"/>
          <w:color w:val="000000"/>
          <w:sz w:val="24"/>
          <w:szCs w:val="24"/>
        </w:rPr>
        <w:t xml:space="preserve"> </w:t>
      </w:r>
    </w:p>
    <w:p w14:paraId="107D7027" w14:textId="77777777" w:rsidR="002858AE" w:rsidRPr="00E97E0B" w:rsidRDefault="002858AE" w:rsidP="002858AE">
      <w:pPr>
        <w:tabs>
          <w:tab w:val="left" w:pos="851"/>
        </w:tabs>
        <w:spacing w:before="240" w:after="120" w:line="360" w:lineRule="auto"/>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ab/>
        <w:t>Guespin ise sözceyi iletişim boşlukları arasında üretilen cümle veya cümleler olarak tanımlarken, söylemi metnin üretim koşullarını göz önünde bulundurarak metnin incelenmesini sözceden ayırarak söylem şeklinde tanımlar. Guespin ise Dubois, Benveniste ve Lacan’dan esinlenerek sözce ve sözceleme karşıtlığını anlatmış, bu iki kavramın birbirini tamamladığını dile getirmiştir. Sözcelemeyi dilin özne tarafından sahiplenilmesi ve konuşmacının kendisini dil ve dünyaya göre konumlandırma edimi olarak tanımlayan Guespin, sözceyi ise düz haliyle metin olarak tanımlamıştır.</w:t>
      </w:r>
      <w:r w:rsidRPr="00E97E0B">
        <w:rPr>
          <w:rFonts w:ascii="Times" w:eastAsia="Calibri" w:hAnsi="Times" w:cs="Times New Roman"/>
          <w:color w:val="000000"/>
          <w:sz w:val="24"/>
          <w:szCs w:val="24"/>
          <w:vertAlign w:val="superscript"/>
        </w:rPr>
        <w:footnoteReference w:id="19"/>
      </w:r>
      <w:r w:rsidRPr="00E97E0B">
        <w:rPr>
          <w:rFonts w:ascii="Times" w:eastAsia="Calibri" w:hAnsi="Times" w:cs="Times New Roman"/>
          <w:color w:val="000000"/>
          <w:sz w:val="24"/>
          <w:szCs w:val="24"/>
        </w:rPr>
        <w:t xml:space="preserve"> Bir diğer tanımı da sözceyi oluşturan tümcelerin art arda gelmesi ve dizilişi olarak verilmiştir. Buna göre sözce tümcenin de ötesine geçen bir nitelik kazanır. Zellig Sebbatai Harris’in çalışmalarında söylem bu şekilde anlam kazanır.</w:t>
      </w:r>
    </w:p>
    <w:p w14:paraId="374430EE" w14:textId="77777777" w:rsidR="002858AE" w:rsidRPr="00E97E0B" w:rsidRDefault="002858AE" w:rsidP="002858AE">
      <w:pPr>
        <w:spacing w:before="120" w:after="120" w:line="360" w:lineRule="auto"/>
        <w:jc w:val="both"/>
        <w:rPr>
          <w:rFonts w:ascii="Times" w:eastAsia="Calibri" w:hAnsi="Times" w:cs="Times New Roman"/>
          <w:color w:val="00B0F0"/>
          <w:sz w:val="24"/>
          <w:szCs w:val="24"/>
        </w:rPr>
      </w:pPr>
      <w:r w:rsidRPr="00E97E0B">
        <w:rPr>
          <w:rFonts w:ascii="Times" w:eastAsia="Calibri" w:hAnsi="Times" w:cs="Times New Roman"/>
          <w:sz w:val="24"/>
          <w:szCs w:val="24"/>
        </w:rPr>
        <w:tab/>
        <w:t xml:space="preserve">Benveniste’in başını çektiği Fransız Söylem Çözümleme Okulu’nda söylem cümle ve anlatıdan ayrılır. İki anlamsal aralık arasında kalan dilsel yapı birlikteliği </w:t>
      </w:r>
      <w:r w:rsidRPr="00E97E0B">
        <w:rPr>
          <w:rFonts w:ascii="Times" w:eastAsia="Calibri" w:hAnsi="Times" w:cs="Times New Roman"/>
          <w:sz w:val="24"/>
          <w:szCs w:val="24"/>
        </w:rPr>
        <w:lastRenderedPageBreak/>
        <w:t>veya cümleler bütünü olarak tanımlanır. Buna göre söylem, üretim içinde var olan sözceyi tanımlarken, sözcenin üretiliş koşulları göz önünde bulundurularak incelenmesi durumunda sözce söyleme dönüşür. Bu tanımı Charaudeau ve Maingaineau da benimsemektedir. Ayrıca Maingueneau söylemi, ideolojik ve sosyal karşıtlıkların sistemi olarak yapılan aktarım şeklinde tanımlanmıştır. Fransız Çözümleme Okulu, 1960’larda gelişen psikanaliz kuramlarından ve Marksist kuramlardan etkilenmiş bir düşünce okuludur. Bu okulun yaklaşımı açısından söylem tarafsız olmayan bilgiler üzerinden kişilerin konuşma biçimleridir. Söylemlerin karşılıklı bir mücadele içinde oldukları savunulur, bu da anlamı etkiler. Okulun anlamda eleştirel bir yönü de bulunmaktadır. Buna ilave olarak sözceleme kuramı bağlamında Benveniste, söylemin bir verici ve alıcıyı varsaydığını ve bu eylemin etkileme niyeti taşımak durumunda olduğunu da savunur. Ayrıca Benveniste söylemi anlatı ile karşıtlık ilişkisi üzerinden okur. Anlatıda özne konuşmuyor izlenimi vermektedir, kendiliğinden anlatı gerçekleşiyor gibidir. Söylemin olduğu yerde ise etkileşim vardır, bu sebepten ötürü zaman zaman söylem kavramı söyleşi ile eşanlamlı olarak da kullanılır. Benveniste’e göre gerçeklik söylem aracılığıyla yeniden inşa edilir. Söylem vericisi kendi gerçekliğini anlatırken alıcının da gerçekliği bundan etkilenerek yeniden şekil alır.</w:t>
      </w:r>
      <w:r w:rsidRPr="00E97E0B">
        <w:rPr>
          <w:rFonts w:ascii="Times" w:eastAsia="Calibri" w:hAnsi="Times" w:cs="Times New Roman"/>
          <w:sz w:val="24"/>
          <w:szCs w:val="24"/>
          <w:vertAlign w:val="superscript"/>
        </w:rPr>
        <w:footnoteReference w:id="20"/>
      </w:r>
    </w:p>
    <w:p w14:paraId="4E15ED1B" w14:textId="77777777" w:rsidR="002858AE" w:rsidRPr="00E97E0B" w:rsidRDefault="002858AE" w:rsidP="002858AE">
      <w:pPr>
        <w:tabs>
          <w:tab w:val="left" w:pos="851"/>
        </w:tabs>
        <w:spacing w:before="240" w:after="120" w:line="360" w:lineRule="auto"/>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ab/>
        <w:t>Bir diğer söylem tanımı cümle ile söylem karşıtlaştırılması üzerinden yapılır. Söylemin yaratıcılığın gerçekleştiği zaman ve mekanla ilintili bir şekilde anlaşılmasına karşın, cümle durağan ve tamamlanmış bir dilsel birim olarak görülür. Burada karşıtlık donuk ve tamamlanmış olma ile yaratım halinde olmayı sürdürme üzerinden kurulur. Göstergebilimci (semiyotik) yaklaşımla ise söylem dilsel ve dildışı her türlü gösterge sistemini içerir. Bu aynı zamanda sözel veya yazılı olmayan göstergelerin de söylem kapsamına girdiği anlamına gelmektedir.</w:t>
      </w:r>
      <w:r w:rsidRPr="00E97E0B">
        <w:rPr>
          <w:rFonts w:ascii="Times" w:eastAsia="Calibri" w:hAnsi="Times" w:cs="Times New Roman"/>
          <w:color w:val="000000"/>
          <w:sz w:val="24"/>
          <w:szCs w:val="24"/>
          <w:vertAlign w:val="superscript"/>
        </w:rPr>
        <w:footnoteReference w:id="21"/>
      </w:r>
      <w:r w:rsidRPr="00E97E0B">
        <w:rPr>
          <w:rFonts w:ascii="Times" w:eastAsia="Calibri" w:hAnsi="Times" w:cs="Times New Roman"/>
          <w:color w:val="000000"/>
          <w:sz w:val="24"/>
          <w:szCs w:val="24"/>
        </w:rPr>
        <w:t xml:space="preserve"> </w:t>
      </w:r>
    </w:p>
    <w:p w14:paraId="3A360C0F" w14:textId="77777777" w:rsidR="002858AE" w:rsidRPr="00E97E0B" w:rsidRDefault="002858AE" w:rsidP="002858AE">
      <w:pPr>
        <w:tabs>
          <w:tab w:val="left" w:pos="851"/>
        </w:tabs>
        <w:spacing w:before="240" w:after="120" w:line="360" w:lineRule="auto"/>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ab/>
        <w:t xml:space="preserve">Wodak, söylemi belirli durum, olay, kurum ve çevresindeki sosyal yapılar arasındaki diyalektik her birinin şekillenmesine ve şekillendirmesine neden olan ilişki olarak tanımlamaktadır. Larry Marks ise söylemin herhangi toplumsal bir alanın çeşidine göre kodlanmış dilsel kullanım bütünlüğü olduğunu dile getirmiştir. </w:t>
      </w:r>
      <w:r w:rsidRPr="00E97E0B">
        <w:rPr>
          <w:rFonts w:ascii="Times" w:eastAsia="Calibri" w:hAnsi="Times" w:cs="Times New Roman"/>
          <w:color w:val="000000"/>
          <w:sz w:val="24"/>
          <w:szCs w:val="24"/>
        </w:rPr>
        <w:lastRenderedPageBreak/>
        <w:t>Zellig S. Harris ise Sözcelem ediminin gözlemlenebilir sonucu olarak tanımladığı söylemin iletişim kurmak ve alıcıları bir davranışa yönlendirmek için oluşturulan bir sözce olduğunu savunmuştur. Tahir Gür ise söylemin oluştuğu ve devam ettiği tarihsel, kültürel, sosyal iletişimsel, dilbilimsel ve psikolojik unsurlardan oluşmuş koşullarla ortaya çıkmış bir bütünlük olduğunu söylemiştir.</w:t>
      </w:r>
      <w:r w:rsidRPr="00E97E0B">
        <w:rPr>
          <w:rFonts w:ascii="Times" w:eastAsia="Calibri" w:hAnsi="Times" w:cs="Times New Roman"/>
          <w:color w:val="000000"/>
          <w:sz w:val="24"/>
          <w:szCs w:val="24"/>
          <w:vertAlign w:val="superscript"/>
        </w:rPr>
        <w:footnoteReference w:id="22"/>
      </w:r>
      <w:r w:rsidRPr="00E97E0B">
        <w:rPr>
          <w:rFonts w:ascii="Times" w:eastAsia="Calibri" w:hAnsi="Times" w:cs="Times New Roman"/>
          <w:color w:val="000000"/>
          <w:sz w:val="24"/>
          <w:szCs w:val="24"/>
        </w:rPr>
        <w:t xml:space="preserve">   </w:t>
      </w:r>
    </w:p>
    <w:p w14:paraId="467980D4" w14:textId="77777777" w:rsidR="002858AE" w:rsidRPr="00E97E0B" w:rsidRDefault="002858AE" w:rsidP="00E93FD2">
      <w:pPr>
        <w:pStyle w:val="Heading2"/>
      </w:pPr>
      <w:bookmarkStart w:id="19" w:name="_Toc141133056"/>
      <w:r w:rsidRPr="00E97E0B">
        <w:t>2.2. Söylem Analizi</w:t>
      </w:r>
      <w:bookmarkEnd w:id="19"/>
      <w:r w:rsidRPr="00E97E0B">
        <w:t xml:space="preserve"> </w:t>
      </w:r>
    </w:p>
    <w:p w14:paraId="3E5015A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Söylem analizi ifadesi Yunanca yapı bozmak (analuein) fiiliyle Latince geriye ve ileriye koşmak (discurrere) fiillerinden türeyen ifadelerdir. Reisigl; Felsefe, dilbilim, psikoloji, antropoloji gibi pek çok disiplinin sözlüğüne eklenen bu kavramın Foucault’nun kullandığı anlamlarını sıralamıştır.</w:t>
      </w:r>
      <w:r w:rsidRPr="00E97E0B">
        <w:rPr>
          <w:rFonts w:ascii="Times" w:eastAsia="Calibri" w:hAnsi="Times" w:cs="Times New Roman"/>
          <w:sz w:val="24"/>
          <w:szCs w:val="24"/>
          <w:vertAlign w:val="superscript"/>
        </w:rPr>
        <w:footnoteReference w:id="23"/>
      </w:r>
      <w:r w:rsidRPr="00E97E0B">
        <w:rPr>
          <w:rFonts w:ascii="Times" w:eastAsia="Calibri" w:hAnsi="Times" w:cs="Times New Roman"/>
          <w:sz w:val="24"/>
          <w:szCs w:val="24"/>
        </w:rPr>
        <w:t xml:space="preserve"> Foucault söylemi keskin hatları olan bir kavramlar sistemi veya bir nesne olarak değil, söylemsel olayların arasında mevcut olan bir ilişkiler kümesi olarak tanımlamıştır. Foucault tarafından tanımlanması açısından burada söylemin ne olduğundan ziyade ne olmadığının zihinlere oturtulması önemsenmiştir. Bu noktada Wittgenstein’ın </w:t>
      </w:r>
      <w:r w:rsidRPr="00E97E0B">
        <w:rPr>
          <w:rFonts w:ascii="Times" w:eastAsia="Calibri" w:hAnsi="Times" w:cs="Times New Roman"/>
          <w:i/>
          <w:sz w:val="24"/>
          <w:szCs w:val="24"/>
        </w:rPr>
        <w:t>Dil Oyunları</w:t>
      </w:r>
      <w:r w:rsidRPr="00E97E0B">
        <w:rPr>
          <w:rFonts w:ascii="Times" w:eastAsia="Calibri" w:hAnsi="Times" w:cs="Times New Roman"/>
          <w:sz w:val="24"/>
          <w:szCs w:val="24"/>
        </w:rPr>
        <w:t xml:space="preserve"> kitabında ve Austin’in </w:t>
      </w:r>
      <w:r w:rsidRPr="00E97E0B">
        <w:rPr>
          <w:rFonts w:ascii="Times" w:eastAsia="Calibri" w:hAnsi="Times" w:cs="Times New Roman"/>
          <w:i/>
          <w:sz w:val="24"/>
          <w:szCs w:val="24"/>
        </w:rPr>
        <w:t>Söz Eylem</w:t>
      </w:r>
      <w:r w:rsidRPr="00E97E0B">
        <w:rPr>
          <w:rFonts w:ascii="Times" w:eastAsia="Calibri" w:hAnsi="Times" w:cs="Times New Roman"/>
          <w:sz w:val="24"/>
          <w:szCs w:val="24"/>
        </w:rPr>
        <w:t xml:space="preserve">’inde söylem kavramı daha somut ve görsel olsun sözel olsun toplumsal kurallar ve mütabakat sonucunda var olan iletişim biçimlerinde yerini bulmaktadır. </w:t>
      </w:r>
      <w:r w:rsidRPr="00E97E0B">
        <w:rPr>
          <w:rFonts w:ascii="Times" w:eastAsia="Calibri" w:hAnsi="Times" w:cs="Times New Roman"/>
          <w:sz w:val="24"/>
          <w:szCs w:val="24"/>
          <w:vertAlign w:val="superscript"/>
        </w:rPr>
        <w:footnoteReference w:id="24"/>
      </w:r>
    </w:p>
    <w:p w14:paraId="215AF92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1990’lı yıllardaki Dijk yorumlaması incelendiğinde söylem analizi ile metin linguistiği arasındaki fark bağlam içinde söylem olarak tanımlanmaktadır. Aynı yıllarda Utz Maas ise söylem analizi teriminin anlamının, Habermas’ın konuyla ilgili teorik zeminini göz önünde bulundurarak, “akademik düzeyde kafa yormadan” “diyaloğa” doğru evrildiği yorumunu yapar.  </w:t>
      </w:r>
    </w:p>
    <w:p w14:paraId="3A14954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 araştırmanın inceleme konusu varlıklar, olaylar veya şeyler değil insanların konuşma eylemleridir. İnsanların eylemlerini etkileşim içinde anlatılar üreterek ortaya koymalarıyla ilgili bir analiz çeşidi olan söylem analizi, sebep sonuç ilişkilerine değil dili idare eden kuralları oluşturan anlatıların anlam dünyalarına </w:t>
      </w:r>
      <w:r w:rsidRPr="00E97E0B">
        <w:rPr>
          <w:rFonts w:ascii="Times" w:eastAsia="Calibri" w:hAnsi="Times" w:cs="Times New Roman"/>
          <w:sz w:val="24"/>
          <w:szCs w:val="24"/>
        </w:rPr>
        <w:lastRenderedPageBreak/>
        <w:t>odaklanır. Söylem analizinin özellikle nitel yanının ağır bastığı araştırmanın ontolojisi realist değil görececi bir tarzdadır. Diğer taraftan epistemolojik bakımdan araştırmanın yaklaşımı sosyal inşacı olarak nitelendirilebilir.</w:t>
      </w:r>
    </w:p>
    <w:p w14:paraId="42AF64F0" w14:textId="77777777" w:rsidR="002858AE" w:rsidRPr="00E97E0B" w:rsidRDefault="002858AE" w:rsidP="002858AE">
      <w:pPr>
        <w:tabs>
          <w:tab w:val="left" w:pos="851"/>
        </w:tabs>
        <w:spacing w:before="240" w:after="120" w:line="360" w:lineRule="auto"/>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ab/>
        <w:t>Söylem tarihi bir binadan anıta, politikadan, politik stratejiye, kullanıldığı şekli itibariyle dar veya geniş anlamıyla bir anlatıdan metne ve konuşmaya, bir konuyla ilgili karşılıklı konuşmalardan başlı başına dilin kendisine kadar birçok anlamı içerebilmektedir. Bu da kavramın içeriğini ortak bir tanımla tanımlamanın ne kadar zor olduğunu göstermektedir. Elbette söylem gibi geniş ve içerik bakımından zengin bir kavramın tek bir tanımının olması beklenemez ancak bazı tanımlara yer vererek yetersiz kalacak da olsa, bir şekilde çerçeve çizmeye çalışmak, böyle bir konunun işlenmesi için bir ön koşul olduğu gibi aynı zamanda da yararlıdır. Bunu farklı kaynakların tanımlarını ve yaklaşımlarını inceleyerek yapmak mümkün olacaktır. Kavramın açıklanmasına yönelik sistematik tanımların ve ölçülebilir hale getirme çabalarının çok sık olmadığı söylenebilir. Hatta Wodak konuyla ilgili kavramların sistematik bir şekilde kullanılarak tutarlı bir yolun izlendiği durumların az olduğunu belirtmiştir. Konuyla ilgili rastlanılan sık hatalardan birinin metin kesitlerinin alınarak onları anlatılmak istenilen ile ilişkilendirip bağlamını ve sistemini yeterince açıklamaksızın varılmak istenilen sonuca aceleci bir şekilde gitmek olduğunu belirtmiştir. Bununla beraber özellikle “açık soru” yöntemiyle gerçekleştirilen tartışmalarda içerik ya da çerçeve analizi çoğunlukla niceliksel araştırma düzeyini geçemiyor, zira tartışma kalıplarının tartışmanın bağlamındaki detayları ve grup dinamikleri çoğunlukla göz ardı ediliyor.</w:t>
      </w:r>
      <w:r w:rsidRPr="00E97E0B">
        <w:rPr>
          <w:rFonts w:ascii="Times" w:eastAsia="Calibri" w:hAnsi="Times" w:cs="Times New Roman"/>
          <w:color w:val="000000"/>
          <w:sz w:val="24"/>
          <w:szCs w:val="24"/>
          <w:vertAlign w:val="superscript"/>
        </w:rPr>
        <w:footnoteReference w:id="25"/>
      </w:r>
    </w:p>
    <w:p w14:paraId="5DC0221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Wodak’a göre yeni iletişim teknolojilerinin yaygınlaşmasının ardından artık analize konu olabilecek materyalin son derece çeşitli verilerden oluşması yeni metodolojileri gerekli kılıyordu. Özellikle görsel verilerin kullanımının yaygınlaşması metin içerikleriyle daha fazla karşılıklı anlam oluşturması, görsel verilerin analizlerin araçları yelpazesine dahil edilmesini daha fazla gündeme getirmiştir. Ancak tüm nitel söylem çalışmalarının iletişim teknolojilerinin görsel yönlerinden yararlanması mümkün olmayabilir.</w:t>
      </w:r>
    </w:p>
    <w:p w14:paraId="2EE9344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Söylem analizinin başlıca temel kavramlarından bir tanesi metinlerarasılıktır. Metinlerarasılık, geçmiş zamanda veya şimdiki zamanda oluşturulmuş ana aktör, konu ve tartışmaların bir metin içerisinde diğer(ler)inde bulunanlara gönderme yapmak suretiyle, metinlerin birbirlerinden etkilenmelerine verilen addır. Bunu bağlam kazandırma aşaması takip eder; yeni bir bağlam içerisinde tekrar kullanılan bir argüman önceki bağlamından çıkarılıp yeni bağlamında tekrar hayat bulur. Söylemlerarasılık metinlerin içerdiği söylemlerin arasında bağların kurulmasıdır.</w:t>
      </w:r>
      <w:r w:rsidRPr="00E97E0B">
        <w:rPr>
          <w:rFonts w:ascii="Times" w:eastAsia="Calibri" w:hAnsi="Times" w:cs="Times New Roman"/>
          <w:sz w:val="24"/>
          <w:szCs w:val="24"/>
          <w:vertAlign w:val="superscript"/>
        </w:rPr>
        <w:footnoteReference w:id="26"/>
      </w:r>
    </w:p>
    <w:p w14:paraId="4386A8A2"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Van Dijk, Söylem Çalışmaları adlı eserinde söylemin esasını “farklı metin ve konuşma düzeylerinin çeşitli strateji ve yapılarının sistematik ve açık analizlerinin” oluşturduğunu söylemiştir. Söylem çalışmaları yöntemleri bağlam içindeki metnin dilbilgisel ve çok kiplilik yönlerini incelemeyi de gerektirmektedir. Söylemde semantik konusu söylemsel yapılarla ilgili konular açısından yeterince gelişmemiş bir alandır. Bu konuda 1960 ve 1970’li yılların bağdaşıklıkla ilgili çalışmaları katkı sunmuş görünmektedir. Bilişsel dilbilimi ve metafor üzerine yapılan çalışmalar bu alanda katkı sağlama konusunda daha fazla öne çıkmıştır. Semantik içerme ve varsayım, bağdaşıklığın en temel boyutları arasında yer almaktadır. Söylemdeki önermeler arasında bağdaşıklık ilişkilerini ortaya koymak için açıkça ifade edilen söylem içinde yer alan, imâ edilen veya varsayılan “eksik bağlantıların” ortaya çıkarılmasına ihtiyaç duyulur.</w:t>
      </w:r>
      <w:r w:rsidRPr="00E97E0B">
        <w:rPr>
          <w:rFonts w:ascii="Times" w:eastAsia="Calibri" w:hAnsi="Times" w:cs="Times New Roman"/>
          <w:sz w:val="24"/>
          <w:szCs w:val="24"/>
          <w:vertAlign w:val="superscript"/>
        </w:rPr>
        <w:footnoteReference w:id="27"/>
      </w:r>
    </w:p>
    <w:p w14:paraId="200034D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Göstergebilimi, edimbilimi, psikolinguistik ve sosyolinguistik, konuşma etnografisi, konuşma analizi ve söylem çalışmaları 1970’lerin başlarından itibaren 7 noktada söylemle daha bağlantılı olarak ortaya çıkmaya başladı. Bunlar dilin doğal kullanılan halinin ön plana çıkması, tek başlarına birim olarak kabul edilen kelime ve cümlelerden daha büyük ölçekli birimlerin, örneğin metinlerin cümle gruplarının, tweet benzeri açıklamaların benimsenmesi, dilbiliminin cümle gramerinin ötesinde etki ve etkileşim üzerinden okuma yapmaya ağırlık vermesi, sözsüz iletişim biçimlerinin incelemelerde önem kazanması, sosyobilişsel veya etkileşimsel tavır ve tutumlara vurgu, dilin bağlam içindeki kullanımının işlevsel </w:t>
      </w:r>
      <w:r w:rsidRPr="00E97E0B">
        <w:rPr>
          <w:rFonts w:ascii="Times" w:eastAsia="Calibri" w:hAnsi="Times" w:cs="Times New Roman"/>
          <w:sz w:val="24"/>
          <w:szCs w:val="24"/>
        </w:rPr>
        <w:lastRenderedPageBreak/>
        <w:t>önemine vurgu ve son olarak tutarlılık, artgönderim, retorik, argümantasyon, konuşma, konuşma sırası, retorik, zihinsel modeller, makroyapılar gibi metin dilbilgisi ve dil kullanımındaki pek çok olgunun analiz edilmesi şeklinde ifade edilebilir.</w:t>
      </w:r>
      <w:r w:rsidRPr="00E97E0B">
        <w:rPr>
          <w:rFonts w:ascii="Times" w:eastAsia="Calibri" w:hAnsi="Times" w:cs="Times New Roman"/>
          <w:sz w:val="24"/>
          <w:szCs w:val="24"/>
          <w:vertAlign w:val="superscript"/>
        </w:rPr>
        <w:footnoteReference w:id="28"/>
      </w:r>
    </w:p>
    <w:p w14:paraId="42F78B0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Jam Lemke’nin tanımından faydalanarak metin ve söylem arasındaki ayrımı anlamaya çalışacak olursak, söylemin bazı özel durumlarda dil ve diğer </w:t>
      </w:r>
      <w:r w:rsidRPr="00E97E0B">
        <w:rPr>
          <w:rFonts w:ascii="Times" w:eastAsia="Calibri" w:hAnsi="Times" w:cs="Times New Roman"/>
          <w:color w:val="000000"/>
          <w:sz w:val="24"/>
          <w:szCs w:val="24"/>
        </w:rPr>
        <w:t>sembolik sistemler vasıtasıyla toplumsal çerçevede anlam yaratma etkinliği olduğunu söyleyebiliriz. Elbette dilin ve anlamın ne denli sosyal veya bireysel olabileceği konusunu tartışmaksızın bu tanıma göz atacağız. Zira bu tartışmayı ihmal etmemekte ısrar etmemiz durumunda düşüncenin dili önceleyip öncelemediği ve buradan hareketle de sosyal bir yaşam içinde bulunmayan yalıtılmış bir dünyada var olan bir bireyin düşünmesinin düşünme olarak kabul edilip edilemeyeceği tartışmasına girmek gerekecektir ki bu da bizim araştırma çerçevemizi bir hayli aşacaktır. Tanımın yorumuna dönecek</w:t>
      </w:r>
      <w:r w:rsidRPr="00E97E0B">
        <w:rPr>
          <w:rFonts w:ascii="Times" w:eastAsia="Calibri" w:hAnsi="Times" w:cs="Times New Roman"/>
          <w:sz w:val="24"/>
          <w:szCs w:val="24"/>
        </w:rPr>
        <w:t xml:space="preserve"> olursak, her bir üretim esnasında yeni bir metnin çıktığı sonucuna varıldığını düşünebiliriz. Bu üretim ise daha önceki üretimlerin bir sonucu olarak aslında evvelki üretimlerin veya ürünlerin arasından çıkan bir yeni ürün olarak görülebilir; sosyal alışkanlıklar, davranış modelleri doğal olarak kendi içerdikleri anlamlarla örüntülü metinlerin üretilmelerine neden olacaklar. Bir olayın özelinde konuştuğumuzda metinden bahsederiz, farklı olay ve metinleri kuşatan kalıplara, benzerliklere ve ilişkilere baktığımızda söylemden bahsetmiş oluruz. Bu açıdan baktığımızda metnin söylemin ete kemiğe bürünmüş özel ve her seferinde eşsiz bir versiyonu olduğunu söylemek mümkündür. Söylem ise daha ziyade soyut, ilişkileri benzerlik ve yapıları içeren bir özelliğe çağrışım yapmaktadır. Bu bağlamda söylemin metinlerin türleri olduğu yorumunu yapabiliriz.</w:t>
      </w:r>
      <w:r w:rsidRPr="00E97E0B">
        <w:rPr>
          <w:rFonts w:ascii="Times" w:eastAsia="Calibri" w:hAnsi="Times" w:cs="Times New Roman"/>
          <w:sz w:val="24"/>
          <w:szCs w:val="24"/>
          <w:vertAlign w:val="superscript"/>
        </w:rPr>
        <w:footnoteReference w:id="29"/>
      </w:r>
    </w:p>
    <w:p w14:paraId="2D9D2F2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Söylem ile metin arasındaki farkı ayırt etmeye yarayan açık kriterlerden bahseden Fairclough, bunların linguistik bir özünün olduğuna ve örnek içinde hem sentaksla hem de göstergebilimle ilişkili olarak incelenebileceğine, toplumsal </w:t>
      </w:r>
      <w:r w:rsidRPr="00E97E0B">
        <w:rPr>
          <w:rFonts w:ascii="Times" w:eastAsia="Calibri" w:hAnsi="Times" w:cs="Times New Roman"/>
          <w:sz w:val="24"/>
          <w:szCs w:val="24"/>
        </w:rPr>
        <w:lastRenderedPageBreak/>
        <w:t xml:space="preserve">uzlaşıyla uyumlu olduğu müddetçe her tür işaretin anlam üretimiyle ilgili olduğuna vurgu yapıyor. </w:t>
      </w:r>
      <w:r w:rsidRPr="00E97E0B">
        <w:rPr>
          <w:rFonts w:ascii="Times" w:eastAsia="Calibri" w:hAnsi="Times" w:cs="Times New Roman"/>
          <w:sz w:val="24"/>
          <w:szCs w:val="24"/>
          <w:vertAlign w:val="superscript"/>
        </w:rPr>
        <w:footnoteReference w:id="30"/>
      </w:r>
    </w:p>
    <w:p w14:paraId="02260FE9"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Sanders ve Sanders ise anlam üretim sürecinde Latinc e dokumak anlamına gelen </w:t>
      </w:r>
      <w:r w:rsidRPr="00E97E0B">
        <w:rPr>
          <w:rFonts w:ascii="Times" w:eastAsia="Calibri" w:hAnsi="Times" w:cs="Times New Roman"/>
          <w:i/>
          <w:sz w:val="24"/>
          <w:szCs w:val="24"/>
        </w:rPr>
        <w:t>texere</w:t>
      </w:r>
      <w:r w:rsidRPr="00E97E0B">
        <w:rPr>
          <w:rFonts w:ascii="Times" w:eastAsia="Calibri" w:hAnsi="Times" w:cs="Times New Roman"/>
          <w:sz w:val="24"/>
          <w:szCs w:val="24"/>
        </w:rPr>
        <w:t xml:space="preserve"> fiilinden türeyen metin/</w:t>
      </w:r>
      <w:r w:rsidRPr="00E97E0B">
        <w:rPr>
          <w:rFonts w:ascii="Times" w:eastAsia="Calibri" w:hAnsi="Times" w:cs="Times New Roman"/>
          <w:i/>
          <w:sz w:val="24"/>
          <w:szCs w:val="24"/>
        </w:rPr>
        <w:t>text</w:t>
      </w:r>
      <w:r w:rsidRPr="00E97E0B">
        <w:rPr>
          <w:rFonts w:ascii="Times" w:eastAsia="Calibri" w:hAnsi="Times" w:cs="Times New Roman"/>
          <w:sz w:val="24"/>
          <w:szCs w:val="24"/>
        </w:rPr>
        <w:t xml:space="preserve"> kelimesi arasında bağlantıya işaret ederek metni, yazılı dilin tutarlılık meydana getiren monolojik bir uzamı olarak algılamaktadırlar. Metinlerin arasındaki bağlantılılığı en iyi ifade ettiğini düşündükleri kelime </w:t>
      </w:r>
      <w:r w:rsidRPr="00E97E0B">
        <w:rPr>
          <w:rFonts w:ascii="Times" w:eastAsia="Calibri" w:hAnsi="Times" w:cs="Times New Roman"/>
          <w:i/>
          <w:sz w:val="24"/>
          <w:szCs w:val="24"/>
        </w:rPr>
        <w:t xml:space="preserve">coherence </w:t>
      </w:r>
      <w:r w:rsidRPr="00E97E0B">
        <w:rPr>
          <w:rFonts w:ascii="Times" w:eastAsia="Calibri" w:hAnsi="Times" w:cs="Times New Roman"/>
          <w:sz w:val="24"/>
          <w:szCs w:val="24"/>
        </w:rPr>
        <w:t xml:space="preserve">yani tutarlılıktır. Kastedilen tutarlılık metnin özü itibariyle var olduğu kabul edilen bir özellik değildir ancak metin içindeki farklı bilgi parçalarını uygun biçimde bir araya getiren dil kullanıcısının oluşturabileceği bir durum olarak kabul edilir. Sanders’ların metinleri tanımlarken başvurduğu </w:t>
      </w:r>
      <w:r w:rsidRPr="00E97E0B">
        <w:rPr>
          <w:rFonts w:ascii="Times" w:eastAsia="Calibri" w:hAnsi="Times" w:cs="Times New Roman"/>
          <w:i/>
          <w:sz w:val="24"/>
          <w:szCs w:val="24"/>
        </w:rPr>
        <w:t>Introduction to Text Linguistics</w:t>
      </w:r>
      <w:r w:rsidRPr="00E97E0B">
        <w:rPr>
          <w:rFonts w:ascii="Times" w:eastAsia="Calibri" w:hAnsi="Times" w:cs="Times New Roman"/>
          <w:sz w:val="24"/>
          <w:szCs w:val="24"/>
        </w:rPr>
        <w:t xml:space="preserve"> (Robert de Beaugrande ve Wolfgang Dressler, 2016) eserindeki 7 kriter genel olarak kabul görmüş ve ilk başvurulan metinselliğin kurucu kriterlerindendir.</w:t>
      </w:r>
      <w:r w:rsidRPr="00E97E0B">
        <w:rPr>
          <w:rFonts w:ascii="Times" w:eastAsia="Calibri" w:hAnsi="Times" w:cs="Times New Roman"/>
          <w:sz w:val="24"/>
          <w:szCs w:val="24"/>
          <w:vertAlign w:val="superscript"/>
        </w:rPr>
        <w:footnoteReference w:id="31"/>
      </w:r>
      <w:r w:rsidRPr="00E97E0B">
        <w:rPr>
          <w:rFonts w:ascii="Times" w:eastAsia="Calibri" w:hAnsi="Times" w:cs="Times New Roman"/>
          <w:sz w:val="24"/>
          <w:szCs w:val="24"/>
        </w:rPr>
        <w:t xml:space="preserve"> Onlara göre bağdaşıklık/</w:t>
      </w:r>
      <w:r w:rsidRPr="00E97E0B">
        <w:rPr>
          <w:rFonts w:ascii="Times" w:eastAsia="Calibri" w:hAnsi="Times" w:cs="Times New Roman"/>
          <w:i/>
          <w:sz w:val="24"/>
          <w:szCs w:val="24"/>
        </w:rPr>
        <w:t>cohesion</w:t>
      </w:r>
      <w:r w:rsidRPr="00E97E0B">
        <w:rPr>
          <w:rFonts w:ascii="Times" w:eastAsia="Calibri" w:hAnsi="Times" w:cs="Times New Roman"/>
          <w:sz w:val="24"/>
          <w:szCs w:val="24"/>
        </w:rPr>
        <w:t xml:space="preserve">, metinsentaktik bağlantılılığı işaret eden metinsel yüzeyin bileşenlerini kapsar. Bir metindeki dilsel unsurların doğrusal kesitleri rastlantısal olarak oluşmaz, aksine dilbilgisel zorunluluklara ve kurallara göre şekil alır. Yüzey bileşenleri arasında ilişki kurmaya yarayan ve bu amaca hizmet eden tüm işlevler bu şekilde isimlendirilir. Bağdaşıklık, tutarlılık, niyetlilik, kabul edilebilirlik, bilgisellik, durumsallık, metinlerarasılık bu kurucu kriterlerdir. Buna ek olarak düzenleyici kriterleri ise etkinlik, etkililik ve uygunluk olarak listelenmiştir. </w:t>
      </w:r>
      <w:r w:rsidRPr="00E97E0B">
        <w:rPr>
          <w:rFonts w:ascii="Times" w:eastAsia="Calibri" w:hAnsi="Times" w:cs="Times New Roman"/>
          <w:sz w:val="24"/>
          <w:szCs w:val="24"/>
          <w:vertAlign w:val="superscript"/>
        </w:rPr>
        <w:footnoteReference w:id="32"/>
      </w:r>
    </w:p>
    <w:p w14:paraId="093D07FC"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Bağdaşıklığı sağlayan unsurlar ise yineleme, artgönderim ve öngönderim, eksilti, bağlaşımlar (bağlaçlar) olarak açıklanmıştır. Buna göre yineleme, kelime tekrarı ve kelimelerin kullanım sıklığını ve cümleleri oluşturan unsurları ve diğer dilbilimsel öğeleri içerir. Art ve öngönderimler sırasıyla metin içinde daha önce geçen kesit ve dilsel birimlere yapılan gönderimdir. Eksilti, metnin iletişimsel bağlamında anlaşılan ve ortak kabule dayanan bilgiler ışığında anlaşıldığı kabul edilen bilgilerin metinde tam olarak yer almaması durumudur. Bağlaşımlar ise olay ve olgular arasında bağ ve alaka kurmaya yararlar. Aynı düzeydeki ifadeleri (birleştirme), farklı düzeydeki ifadeleri (ayırma), aynı statüde olup sebep sonuç </w:t>
      </w:r>
      <w:r w:rsidRPr="00E97E0B">
        <w:rPr>
          <w:rFonts w:ascii="Times" w:eastAsia="Calibri" w:hAnsi="Times" w:cs="Times New Roman"/>
          <w:sz w:val="24"/>
          <w:szCs w:val="24"/>
        </w:rPr>
        <w:lastRenderedPageBreak/>
        <w:t>ilişkisi bağlamında bağdaştırılamayacak ifadeleri (aykırı bağlama) ve tabî cümleleri (tabî kılma) bağlayan türleri vardır. Tutarlılık ise metinsel anlamı oluşturur.</w:t>
      </w:r>
      <w:r w:rsidRPr="00E97E0B">
        <w:rPr>
          <w:rFonts w:ascii="Times" w:eastAsia="Calibri" w:hAnsi="Times" w:cs="Times New Roman"/>
          <w:sz w:val="24"/>
          <w:szCs w:val="24"/>
          <w:vertAlign w:val="superscript"/>
        </w:rPr>
        <w:t xml:space="preserve"> </w:t>
      </w:r>
      <w:r w:rsidRPr="00E97E0B">
        <w:rPr>
          <w:rFonts w:ascii="Times" w:eastAsia="Calibri" w:hAnsi="Times" w:cs="Times New Roman"/>
          <w:sz w:val="24"/>
          <w:szCs w:val="24"/>
          <w:vertAlign w:val="superscript"/>
        </w:rPr>
        <w:footnoteReference w:id="33"/>
      </w:r>
      <w:r w:rsidRPr="00E97E0B">
        <w:rPr>
          <w:rFonts w:ascii="Times" w:eastAsia="Calibri" w:hAnsi="Times" w:cs="Times New Roman"/>
          <w:sz w:val="24"/>
          <w:szCs w:val="24"/>
        </w:rPr>
        <w:t xml:space="preserve"> Burada bahsedilen tutarlılığın kastettiği genel olarak dilbilimsel birimlerle ölçülen unsurlar değildir. De Beaugrande ve Dressler kavramların anlamları olması üzerinden mantıksal, bilişsel ve anlam bağlantıları ile içe içe inşa edildiğini ve bunun sonucunda metinsel yüzeyin oluştuğunu söylemektedir. Van Dijk da metnin anlamını ancak dünyanın ve metnin kendi bilgisinin arasındaki bağlantı aracılığıyla oluşturabildiğini belirtir.</w:t>
      </w:r>
      <w:r w:rsidRPr="00E97E0B">
        <w:rPr>
          <w:rFonts w:ascii="Times" w:eastAsia="Calibri" w:hAnsi="Times" w:cs="Times New Roman"/>
          <w:sz w:val="24"/>
          <w:szCs w:val="24"/>
          <w:vertAlign w:val="superscript"/>
        </w:rPr>
        <w:footnoteReference w:id="34"/>
      </w:r>
      <w:r w:rsidRPr="00E97E0B">
        <w:rPr>
          <w:rFonts w:ascii="Times" w:eastAsia="Calibri" w:hAnsi="Times" w:cs="Times New Roman"/>
          <w:sz w:val="24"/>
          <w:szCs w:val="24"/>
        </w:rPr>
        <w:t xml:space="preserve"> </w:t>
      </w:r>
    </w:p>
    <w:p w14:paraId="0567F3B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Gerçekliği ve metinleri oluştururken metinlerarasılık, yönelimsellik (amaçlılık), geçerlik (kabul edilebilirlik), bilgisellik, durumsallık gibi yöntemler önemli bir yer tutarlar. Bunlardan metinlerarasılık, anlamda zamanları aynı ya da farklı olsun metinlerin arasında ilişki ve bağlantıların olmasını gerektirir. Yönelimsellik, metni ortaya koyanların hangi niyetle neyi kime nasıl söylediği üzerinde durulması iken geçerlik de yönelimselliğin tıpkı bir yansıması gibi, bağlama bağlı olan ve okuyucu veya dinleyicinin yani metnin muhatabının metni anlayabilirliğidir. Bilgisellik ise metindeki yeni bilgi miktarını belirtir; yeni bilgi malzemelerinin nasıl şekillendirildiği ve hangi bağdaşıklık vasıtalarının kullanıldığını, dolayısıyla genel olarak ortaya konulan bilginin niteliğini betimler. Durumsallık ise konuşanların ve konuşma ortamının metnin oluşturulması üzerine önemli bir etkisi olduğu anlamına gelir. Konuşmaların tarzlarının şeklinin kültürel ve durumsal bakımdan da uygun olmasıyla ilgilidir.</w:t>
      </w:r>
    </w:p>
    <w:p w14:paraId="7FFD818B"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Bahsi geçen bu kriterlerin arasında tutarlılık ve bağdaşıklık metin içini ilgilendiren kriterler iken geriye kalanlar metin haricini ilgilendirmektedir. Bu aynı zamanda metin linguistiğiyle söylem analizi arasındaki farklardan birine işaret eden bir özelliktir. Metin linguistiği metnin grameriyle ve kendi içindeki bağdaşıklık ve tutarlılığıyla ilgilenirken özellikle dışsal olmak üzere diğer faktörler geri plana atılır. Söylem analizinde ise durum bunun tersi olup dışsal faktörler oldukça önem kazanır. Wodak’a göre tüm bu ilkeler eşit derecede öneme sahip değildir; tutarlılık ve bağdaşıklık ilkeleri metinleri kurucu olmaları bakımından hayati öneme sahipken yönelimsellik, bilgisellik, geçerlik gibi ilkeler bağlama muhtaçtır. </w:t>
      </w:r>
      <w:r w:rsidRPr="00E97E0B">
        <w:rPr>
          <w:rFonts w:ascii="Times" w:eastAsia="Calibri" w:hAnsi="Times" w:cs="Times New Roman"/>
          <w:sz w:val="24"/>
          <w:szCs w:val="24"/>
        </w:rPr>
        <w:lastRenderedPageBreak/>
        <w:t xml:space="preserve">Linguistik metin analizi tutarlılık ve bağdaşıklığın fazlaca üzerine eğildiğinden ve dolayısıyla yalnızca bu iki boyutunun sadece birkaç aşamasıyla ilgilenen bir yöntemdir. Klasik anlamda içerik analizi ise semantiğin boyutlarından tek bir tanesi olan leksikon odağını düzeyinde bırakır. Sentaks ise yalnızca inceleme birimlerini belirleme amacıyla kullanılır. Dilsel metin analizi ise hem sentaksı hem semantiği hem de edimbilimsel seviyesiyle alakadar olur. Sosyolojik yöntemlerin çoğunluğu ise bu göstergebilimsel kateogorilerden biriyle çalışmasını gerçekleştirir. </w:t>
      </w:r>
      <w:r w:rsidRPr="00E97E0B">
        <w:rPr>
          <w:rFonts w:ascii="Times" w:eastAsia="Calibri" w:hAnsi="Times" w:cs="Times New Roman"/>
          <w:sz w:val="24"/>
          <w:szCs w:val="24"/>
          <w:vertAlign w:val="superscript"/>
        </w:rPr>
        <w:footnoteReference w:id="35"/>
      </w:r>
    </w:p>
    <w:p w14:paraId="3B5FACC8" w14:textId="77777777" w:rsidR="002858AE" w:rsidRPr="00E97E0B" w:rsidRDefault="002858AE" w:rsidP="00E93FD2">
      <w:pPr>
        <w:pStyle w:val="Heading3"/>
      </w:pPr>
      <w:bookmarkStart w:id="23" w:name="_Toc141133057"/>
      <w:r w:rsidRPr="00E97E0B">
        <w:t>2.2.1. Söylem Açısından Bağlam</w:t>
      </w:r>
      <w:bookmarkEnd w:id="23"/>
      <w:r w:rsidRPr="00E97E0B">
        <w:t xml:space="preserve"> </w:t>
      </w:r>
    </w:p>
    <w:p w14:paraId="60744E32"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Teorisyenlerin bir kısmı bağlam kavramını dilbilim, edimbilim ve sosyolinguistikle ilintili olarak değerlendirse de Chomsky, örneklerini üretici dilbilimi alanında bağlamdan bağımsız bireysel ifadeler olarak yorumlamıştır. Ona göre bağlam, sistemsiz öngörülmesi pek de mümkün olmayan etkenlerin içinde olduğu bir kutudur. Bağlam, sosyolinguistler tarafından başlarda yaş cinsiyet sosyal statü, gelir gibi kavramlarla tanımlanırdı. Edimbilimciler tarafından ise konuşmacılara dinleyicilere ve ortama odaklanırken bağlama ilginin az olduğu görülür. Bağlama ilişkin belirgin teorik varsayımlar gerektiren ön kabul ve sezdirim (örtülü varsayımlar) gibi kavramlara karşın bu böyledir. Konuşma analizi ise özellikle Schengloff/Weher ve Bilig’in 1998 yılında tartışmalarının yer aldığı </w:t>
      </w:r>
      <w:r w:rsidRPr="00E97E0B">
        <w:rPr>
          <w:rFonts w:ascii="Times" w:eastAsia="Calibri" w:hAnsi="Times" w:cs="Times New Roman"/>
          <w:i/>
          <w:sz w:val="24"/>
          <w:szCs w:val="24"/>
        </w:rPr>
        <w:t>Discourse and Society</w:t>
      </w:r>
      <w:r w:rsidRPr="00E97E0B">
        <w:rPr>
          <w:rFonts w:ascii="Times" w:eastAsia="Calibri" w:hAnsi="Times" w:cs="Times New Roman"/>
          <w:sz w:val="24"/>
          <w:szCs w:val="24"/>
        </w:rPr>
        <w:t xml:space="preserve"> adlı eserde yalnızca araştırmanın gidişatından çıkarılabilecek sözsüz bağlamlar açısından dikkate alınmıştır. Geriye kalan metin ise tamamen spekülatif ve yoruma dayalı olduğu şeklinde yorumlanmıştır. Daha yakın zamanlı tartışmalara ise Van Dijk’ın çalışması örnek verilebilir. Bağlamı bilişsel yaklaşımla anlayan Van Dijk, bağlamsal verinin bilgisini ve tespitini bağlam modelleri ile açıklamıştır. Van Dijk bu modellerin bilgi kuramı çerçevesinde açıklanabileceğini söylemiştir. </w:t>
      </w:r>
      <w:r w:rsidRPr="00E97E0B">
        <w:rPr>
          <w:rFonts w:ascii="Times" w:eastAsia="Calibri" w:hAnsi="Times" w:cs="Times New Roman"/>
          <w:sz w:val="24"/>
          <w:szCs w:val="24"/>
          <w:vertAlign w:val="superscript"/>
        </w:rPr>
        <w:footnoteReference w:id="36"/>
      </w:r>
    </w:p>
    <w:p w14:paraId="68E8B05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Nicos Mouzelis ise öne sürdüğü “kavramsal pragmatizm” kavramı ile sosyal bilimlerdeki teori sorununu çözmeye talip olmuştur. Sosyal teori kavramsal araçları açıklığa kavuşturmalı ve doğruluk ilkesinden ziyade faydacılık ilkesini benimseyerek yeni teoriler inşa etmeye çalışmalıdır. Bu düşünceden hareketle yola </w:t>
      </w:r>
      <w:r w:rsidRPr="00E97E0B">
        <w:rPr>
          <w:rFonts w:ascii="Times" w:eastAsia="Calibri" w:hAnsi="Times" w:cs="Times New Roman"/>
          <w:sz w:val="24"/>
          <w:szCs w:val="24"/>
        </w:rPr>
        <w:lastRenderedPageBreak/>
        <w:t>çıkarsak araştırmada ihtiyacımız olan şey büyük genel-geçer teori arayışından çok aslında bağlama ve soruna uygun, bağlam ve sorunla ilgisi olan kavramsal araçları oluşturmaktır. Bu noktada Cicourel’in nirengi/üçgenleme teorisi söylem analizi yapan araştırmacının eleştirel açmazlarını en aza indirmeye yönelik olarak ortaya koyulmuştur. İnterdisipliner, çok yöntemli ve farklı empirik veriler ışığında çalışılması önem kazanır. Tamamen dilbilimsel yaklaşımın ötesine geçerek çalışmanın mahiyetine göre tarihi, siyasal, psikolojik ve sosyolojik boyutları da analiz ve yoruma dahil edilir. Üçgenleme yaklaşımının üzerine kurulu olduğu bağlam kavrayışı dört düzeyden oluşur.</w:t>
      </w:r>
      <w:r w:rsidRPr="00E97E0B">
        <w:rPr>
          <w:rFonts w:ascii="Times" w:eastAsia="Calibri" w:hAnsi="Times" w:cs="Times New Roman"/>
          <w:sz w:val="24"/>
          <w:szCs w:val="24"/>
          <w:vertAlign w:val="superscript"/>
        </w:rPr>
        <w:footnoteReference w:id="37"/>
      </w:r>
      <w:r w:rsidRPr="00E97E0B">
        <w:rPr>
          <w:rFonts w:ascii="Times" w:eastAsia="Calibri" w:hAnsi="Times" w:cs="Times New Roman"/>
          <w:sz w:val="24"/>
          <w:szCs w:val="24"/>
        </w:rPr>
        <w:t xml:space="preserve"> 1) Dolaysız, dil veya metin içi içkin metin 2) Metinler, sözceler, türler ve söylemler arasında metinlerarası ve söylemlerarası ilişkiler 3) Belirli bir durumun bağlamının (Orta Boy Teori) dilötesi sosyal ve sosyolojik değişkenleri ve kurumsal çerçeveleri 4) Söylemsel edimleri içinde barındıran kapsamlı sosyo-politik ve tarihsel bağlamlar (Makro Teori). Orta Boy kuramlar, toplumun bütünündeki değişmeyi değil, tersine toplumsal yapıyı oluşturan unsurlardaki farklılaşmaları konu alır. Yapısalcı-işlevsel ve çatışmayı esas alan model olarak ikiye ayrılır.</w:t>
      </w:r>
    </w:p>
    <w:p w14:paraId="41C14A07" w14:textId="77777777" w:rsidR="002858AE" w:rsidRPr="00E97E0B" w:rsidRDefault="002858AE" w:rsidP="002858AE">
      <w:pPr>
        <w:spacing w:before="120" w:after="120" w:line="360" w:lineRule="auto"/>
        <w:ind w:firstLine="720"/>
        <w:jc w:val="both"/>
        <w:rPr>
          <w:rFonts w:ascii="Times" w:eastAsia="Calibri" w:hAnsi="Times" w:cs="Times New Roman"/>
          <w:color w:val="FF0000"/>
          <w:sz w:val="24"/>
          <w:szCs w:val="24"/>
        </w:rPr>
      </w:pPr>
      <w:r w:rsidRPr="00E97E0B">
        <w:rPr>
          <w:rFonts w:ascii="Times" w:eastAsia="Calibri" w:hAnsi="Times" w:cs="Times New Roman"/>
          <w:sz w:val="24"/>
          <w:szCs w:val="24"/>
        </w:rPr>
        <w:t>Bağlam, söylem açısından ele alındığında unsurların yer yer sınırdışı bırakılarak belirli unsurların katıldığı ve tümünün aralarındaki ilişkilerin düzenlendiği bir çeşit kurgu olarak düşünülebilir. Culler kendi tanımlamasında söylemin ve söylemle birlikte anlamın hatta anlamlandırmanın tarihsel olduğunu dile getirir. Yapısökümü ise bir bağlama oturtma (contextualization), bir bağlamdan çıkarma (decontextualization) ve yeni bir bağlam kazandırma (recontextualization) kapsamında değerlendirir. Mevzubahis tercüme olduğunda da bağlamın değişmesi gündeme gelir. Anlamdaki çeşitlilik ve sabitlenemez olma durumu okurun keyfi olarak anlam verebileceği anlamına gelmez. Buna mukabil metnin anlamca açılımlara, bağlantılara, benzerliklere ve karşıtlıklara açık olduğu gerçeği değişmez. Bu da metnin aynı zamanda farklı ve çeşitli bağlamlara açılabilir olması anlamına gelir. Bu bakımdan okur metni yorumlarken kendi yorumunun bağlantılarını kurarak metni belli bir bağlama oturtmalıdır.</w:t>
      </w:r>
      <w:r w:rsidRPr="00E97E0B">
        <w:rPr>
          <w:rFonts w:ascii="Times" w:eastAsia="Calibri" w:hAnsi="Times" w:cs="Times New Roman"/>
          <w:sz w:val="24"/>
          <w:szCs w:val="24"/>
          <w:vertAlign w:val="superscript"/>
        </w:rPr>
        <w:footnoteReference w:id="38"/>
      </w:r>
    </w:p>
    <w:p w14:paraId="2F41BB4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Pragmatik araçların özel bir ortamdaki linguistik analizi konunun içeriğine göre özel araçlar seçmeyi gerektirir. Analize örneklendirilebilecek genel kavramlar olarak özellikle de siyaset bilimi alanı için şu örnekler verilebilir : Tarihsel inceleme ve konuyla ilgili ifadelerin incelenmesi, sosyo-bilişsel analiz, tür kuramı yani siyasal konuşmaların işlevleri (ikna edici stratejiler, olumlu öz-sunu, olumsuz şekilde başkalarını sunma vb.), dar bağlamı oluşturan somut sözcelerin konuşmacı ve ortamları, her bir sözcenin eş bağlamı (co-text), sözlü ifadelerin -ki bu varsayım ve imaları da kapsar- linguistik, pragmatik ve gramer açısından incelenmesi. </w:t>
      </w:r>
    </w:p>
    <w:p w14:paraId="07BA1FE9" w14:textId="34E372E3" w:rsidR="002858AE" w:rsidRPr="00E97E0B" w:rsidRDefault="002858AE" w:rsidP="002858AE">
      <w:pPr>
        <w:spacing w:before="120" w:after="120" w:line="360" w:lineRule="auto"/>
        <w:jc w:val="both"/>
        <w:rPr>
          <w:rFonts w:ascii="Times" w:eastAsia="Calibri" w:hAnsi="Times" w:cs="Times New Roman"/>
          <w:sz w:val="24"/>
          <w:szCs w:val="24"/>
        </w:rPr>
      </w:pPr>
      <w:r w:rsidRPr="00E97E0B">
        <w:rPr>
          <w:rFonts w:ascii="Times" w:eastAsia="Calibri" w:hAnsi="Times" w:cs="Times New Roman"/>
          <w:sz w:val="24"/>
          <w:szCs w:val="24"/>
        </w:rPr>
        <w:t xml:space="preserve">Bu tür dilbilimsel araçların kendisini olumlu olarak ve </w:t>
      </w:r>
      <w:r w:rsidR="00531B73" w:rsidRPr="00E97E0B">
        <w:rPr>
          <w:rFonts w:ascii="Times" w:eastAsia="Calibri" w:hAnsi="Times" w:cs="Times New Roman"/>
          <w:sz w:val="24"/>
          <w:szCs w:val="24"/>
        </w:rPr>
        <w:t>“</w:t>
      </w:r>
      <w:r w:rsidRPr="00E97E0B">
        <w:rPr>
          <w:rFonts w:ascii="Times" w:eastAsia="Calibri" w:hAnsi="Times" w:cs="Times New Roman"/>
          <w:sz w:val="24"/>
          <w:szCs w:val="24"/>
        </w:rPr>
        <w:t>ötekini</w:t>
      </w:r>
      <w:r w:rsidR="00531B73" w:rsidRPr="00E97E0B">
        <w:rPr>
          <w:rFonts w:ascii="Times" w:eastAsia="Calibri" w:hAnsi="Times" w:cs="Times New Roman"/>
          <w:sz w:val="24"/>
          <w:szCs w:val="24"/>
        </w:rPr>
        <w:t>”</w:t>
      </w:r>
      <w:r w:rsidRPr="00E97E0B">
        <w:rPr>
          <w:rFonts w:ascii="Times" w:eastAsia="Calibri" w:hAnsi="Times" w:cs="Times New Roman"/>
          <w:sz w:val="24"/>
          <w:szCs w:val="24"/>
        </w:rPr>
        <w:t xml:space="preserve"> olumsuz olarak tanıtmaya yönelik makro stratejileri açısından incelemek yerinde olabilir. Bu stratejilerde pek çok dilbilimsel özellikleri, retorik değişmeceleri, argümantasyon ve meşrulaştırma modellemelerinin kullanıldığını göz önünde bulundurmak faydalıdır. </w:t>
      </w:r>
    </w:p>
    <w:p w14:paraId="0A66D8F5" w14:textId="77777777" w:rsidR="002858AE" w:rsidRPr="00E97E0B" w:rsidRDefault="002858AE" w:rsidP="00E93FD2">
      <w:pPr>
        <w:pStyle w:val="Heading3"/>
      </w:pPr>
      <w:bookmarkStart w:id="25" w:name="_Toc141133058"/>
      <w:r w:rsidRPr="00E97E0B">
        <w:t>2.2.2. Üslup</w:t>
      </w:r>
      <w:bookmarkEnd w:id="25"/>
    </w:p>
    <w:p w14:paraId="269DE208" w14:textId="3956193A"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Bahtin’e göre her sözce tekildir ancak dilin kullanıldığı her alanın kendisi görece düzenli bir dizge oluşturur bunlara söylem türleri denir. Dilin kullanımı esnasında ortaya çıkan sözceler her alandaki kendine has koşul ve amaçları tekil olarak üslup, kompozisyonel yapısı ve içerikleri vasıtasıyla yansıtır. </w:t>
      </w:r>
      <w:r w:rsidRPr="00E97E0B">
        <w:rPr>
          <w:rFonts w:ascii="Times" w:eastAsia="Calibri" w:hAnsi="Times" w:cs="Times New Roman"/>
          <w:sz w:val="24"/>
          <w:szCs w:val="24"/>
          <w:vertAlign w:val="superscript"/>
        </w:rPr>
        <w:footnoteReference w:id="39"/>
      </w:r>
      <w:r w:rsidRPr="00E97E0B">
        <w:rPr>
          <w:rFonts w:ascii="Times" w:eastAsia="Calibri" w:hAnsi="Times" w:cs="Times New Roman"/>
          <w:sz w:val="24"/>
          <w:szCs w:val="24"/>
        </w:rPr>
        <w:t xml:space="preserve"> Norman Fairclough’a göre üslup belirli bir etkinliğe ilişkin, üzerinde şematik olarak az çok bir uzlaşı sağlanmış dil kullanım şeklidir. İşlevsel sistemik linguistikte, konuşma durumlarının çoğu konvansiyonel ve kurala dayalı olduğundan jenerik olarak görülebilecek ve adlandırılabilecek metinler üretirler. Kress, </w:t>
      </w:r>
      <w:r w:rsidR="00531B73" w:rsidRPr="00E97E0B">
        <w:rPr>
          <w:rFonts w:ascii="Times" w:eastAsia="Calibri" w:hAnsi="Times" w:cs="Times New Roman"/>
          <w:sz w:val="24"/>
          <w:szCs w:val="24"/>
        </w:rPr>
        <w:t>“</w:t>
      </w:r>
      <w:r w:rsidRPr="00E97E0B">
        <w:rPr>
          <w:rFonts w:ascii="Times" w:eastAsia="Calibri" w:hAnsi="Times" w:cs="Times New Roman"/>
          <w:sz w:val="24"/>
          <w:szCs w:val="24"/>
        </w:rPr>
        <w:t>Metinlerin belli bir bölümünün parçası olduğu toplumsal olaylar esasen metin üzerinde önemli bir etkiye sahiptir… Durumlar ise her zaman konvansiyoneldir…</w:t>
      </w:r>
      <w:r w:rsidR="00531B73" w:rsidRPr="00E97E0B">
        <w:rPr>
          <w:rFonts w:ascii="Times" w:eastAsia="Calibri" w:hAnsi="Times" w:cs="Times New Roman"/>
          <w:sz w:val="24"/>
          <w:szCs w:val="24"/>
        </w:rPr>
        <w:t>”</w:t>
      </w:r>
      <w:r w:rsidRPr="00E97E0B">
        <w:rPr>
          <w:rFonts w:ascii="Times" w:eastAsia="Calibri" w:hAnsi="Times" w:cs="Times New Roman"/>
          <w:sz w:val="24"/>
          <w:szCs w:val="24"/>
          <w:vertAlign w:val="superscript"/>
        </w:rPr>
        <w:footnoteReference w:id="40"/>
      </w:r>
      <w:r w:rsidRPr="00E97E0B">
        <w:rPr>
          <w:rFonts w:ascii="Times" w:eastAsia="Calibri" w:hAnsi="Times" w:cs="Times New Roman"/>
          <w:sz w:val="24"/>
          <w:szCs w:val="24"/>
        </w:rPr>
        <w:t xml:space="preserve"> Buna göre metinler, tamamen formülleşmiş ve ritüelleşmiş durumlardan daha sıradan anlık konuşmalara kadar geniş bir yelpazede kendini gösterebilir. </w:t>
      </w:r>
    </w:p>
    <w:p w14:paraId="11F51B22" w14:textId="575DB5FC"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John Swales de aynı şekilde durumları ve varolagelen adetleri başlangıç noktası olarak kabul ederek </w:t>
      </w:r>
      <w:r w:rsidRPr="00E97E0B">
        <w:rPr>
          <w:rFonts w:ascii="Times" w:eastAsia="Calibri" w:hAnsi="Times" w:cs="Times New Roman"/>
          <w:b/>
          <w:i/>
          <w:sz w:val="24"/>
          <w:szCs w:val="24"/>
        </w:rPr>
        <w:t>söylem toplumu</w:t>
      </w:r>
      <w:r w:rsidRPr="00E97E0B">
        <w:rPr>
          <w:rFonts w:ascii="Times" w:eastAsia="Calibri" w:hAnsi="Times" w:cs="Times New Roman"/>
          <w:sz w:val="24"/>
          <w:szCs w:val="24"/>
        </w:rPr>
        <w:t xml:space="preserve"> kavramını öne sürmüştür. Söz konusu </w:t>
      </w:r>
      <w:r w:rsidRPr="00E97E0B">
        <w:rPr>
          <w:rFonts w:ascii="Times" w:eastAsia="Calibri" w:hAnsi="Times" w:cs="Times New Roman"/>
          <w:sz w:val="24"/>
          <w:szCs w:val="24"/>
        </w:rPr>
        <w:lastRenderedPageBreak/>
        <w:t>toplum üslubun oluşumu ve icrası açısından kurucu özelliğe haizdir. Söylem toplumları ortak kamusal ya da toplumsal hedeflere sahip olma, üyeleri arasında iç haberleşme mekanizması oluşturma, kendi sözcük düzlemini ve kavramlarını türetme ve konularıyla bağlantılı uygun söylemsel içeriğe ve söylemsel yetkinliğe sahip olmayla tanınır. Zaten her grubun kendine has olarak oluşturmuş olabileceği bir değerler sistemi, bir jargonu, kuralları, sınırları talepleri ve yaklaşımları olması söz konusudur.</w:t>
      </w:r>
      <w:r w:rsidRPr="00E97E0B">
        <w:rPr>
          <w:rFonts w:ascii="Times" w:eastAsia="Calibri" w:hAnsi="Times" w:cs="Times New Roman"/>
          <w:sz w:val="24"/>
          <w:szCs w:val="24"/>
          <w:vertAlign w:val="superscript"/>
        </w:rPr>
        <w:footnoteReference w:id="41"/>
      </w:r>
    </w:p>
    <w:p w14:paraId="031EB31C"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Elbette toplumsal özellikleri bakımından birbiriyle son derece benzer özellikler taşıyan grupların olması aynı siyasal toplum olan ülke içinde hatta bölgede ve dünyada söz konusu olabilecektir, ancak bu grupların aralarında az da olsa farklılık olması her zaman söz konusu olacaktır. Ayrıca çok geniş oranda benzerlik gösterseler bile mikro düzeyde farklılıkların olması da her ne kadar araştırma konusuna bağlı olarak değerlendirilmeye ve incelenmeye değer kabul edilmeyecek de olsa mümkündür.</w:t>
      </w:r>
    </w:p>
    <w:p w14:paraId="4BC9DEC9"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Labov ve Waletzky sosyolinguitik açısından Propp ve diğer edebi çalışmalardan yola çıkarak sözlü anlatımda mülakatlarda hikayeleri anlatırken anlatıcıların oluşturduğu en temel ortak yapıları saptamaya çalışmışlardır. Her bir anlatıyı yönelimine (giriş), yorumlamasına (olayları anlatması), bitişine (anlatının sonucu) ve kodasına (anlatının özet halinde vardığı ahlaki sonuçlar) göre tetkik etmişlerdir. Burada daha çok işlevselci bir yaklaşımın benimsendiği ve sosyal pratklerin esas alındığı görülmektedir. </w:t>
      </w:r>
      <w:r w:rsidRPr="00E97E0B">
        <w:rPr>
          <w:rFonts w:ascii="Times" w:eastAsia="Calibri" w:hAnsi="Times" w:cs="Times New Roman"/>
          <w:sz w:val="24"/>
          <w:szCs w:val="24"/>
          <w:vertAlign w:val="superscript"/>
        </w:rPr>
        <w:footnoteReference w:id="42"/>
      </w:r>
    </w:p>
    <w:p w14:paraId="1A74A5E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Girnth’in yorumuyla Bourdieu’deki eylem alanı bir hareket noktasıdır ve sıralı toplumsal gerçekliğin kesitleri olarak anlaşılabilir. Bu kesitler söylemin çerçevesini oluşturup biçimlendirmeye yarar. Siyasi eylem alanında tasnifi yapılacak olursa; </w:t>
      </w:r>
      <w:r w:rsidRPr="00E97E0B">
        <w:rPr>
          <w:rFonts w:ascii="Times" w:eastAsia="Calibri" w:hAnsi="Times" w:cs="Times New Roman"/>
          <w:i/>
          <w:sz w:val="24"/>
          <w:szCs w:val="24"/>
        </w:rPr>
        <w:t>yasama, kendini temsil etme ve kamuoyu oluşturma, siyasi grup içinde rıza oluşturma ve propaganda, yönetme ve icra etme eylemleri</w:t>
      </w:r>
      <w:r w:rsidRPr="00E97E0B">
        <w:rPr>
          <w:rFonts w:ascii="Times" w:eastAsia="Calibri" w:hAnsi="Times" w:cs="Times New Roman"/>
          <w:sz w:val="24"/>
          <w:szCs w:val="24"/>
        </w:rPr>
        <w:t xml:space="preserve">nden bahsedilebilir. Siyasi eylem alanlarının yanında kontrol alanından da bahsedilir. Bu </w:t>
      </w:r>
      <w:r w:rsidRPr="00E97E0B">
        <w:rPr>
          <w:rFonts w:ascii="Times" w:eastAsia="Calibri" w:hAnsi="Times" w:cs="Times New Roman"/>
          <w:sz w:val="24"/>
          <w:szCs w:val="24"/>
        </w:rPr>
        <w:lastRenderedPageBreak/>
        <w:t>da muhalefetin ve karşı görüşte olanların ortaya koydukları açıklamaları, parlamentoda tartışmalarını ve kampanyalarını kapsar.</w:t>
      </w:r>
      <w:r w:rsidRPr="00E97E0B">
        <w:rPr>
          <w:rFonts w:ascii="Times" w:eastAsia="Calibri" w:hAnsi="Times" w:cs="Times New Roman"/>
          <w:sz w:val="24"/>
          <w:szCs w:val="24"/>
          <w:vertAlign w:val="superscript"/>
        </w:rPr>
        <w:footnoteReference w:id="43"/>
      </w:r>
    </w:p>
    <w:p w14:paraId="080D7A72"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Elbette herhangi bir konu hakkında oluşan söylem başka bir eylem alanı içinde oluşmaya başlayabilir ve aynı şekilde başka bir söylemin de oluştuğu alan haline gelebilir ve başka söylemlerle iç içe geçerek işlenebilir. Bu anlamda söylenebilir ki söylem ve söylemin içerdiği konular hem birbirleriyle karışabilir, hem kesişebilir hem de birbirlerine göndermeler yapabilir. Eylem alanları, üslup ve söylem konuları siyasetin konularını içeren örneklerde işlenerek aralarındaki ilişkiler üzerinden incelenebilir. </w:t>
      </w:r>
    </w:p>
    <w:p w14:paraId="081F0DA2"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Siyasi arenada yapılan tartışmalara baktığımızda tarafların birbirlerine karşı temelde yapmaya çalıştıkları şey retoriklerle dinleyicisini bazı şeyleri onaylamaya bazı şeyleri de reddetmeye ikna etmektir. Retorik mecazlar ve ifadeler siyasi söylemin argümantasyon/tartışma stratejilerinin önemli bir parçasıdır. Bütün bunların sağlıklı bir şekilde incelenebilmesi için öncelikle verilerin kaynaklarının doğru ve dengeli bir şekilde belirlenmesi gerekecektir. </w:t>
      </w:r>
    </w:p>
    <w:p w14:paraId="2A5AA56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Üsluplar aynı zamanda siyasal alanların ve eylem alanlarının özelliklerinden de kaynaklanır. Konuşmanın odak grubuna mı yapıldığı, parlamentoda mı yapıldığı, hukuki çerçevede mi yapıldığı, kamuoyuna mı yoksa yetkililere mi yapıldığı, hangi kurum veya kuruluşun yaptığı, daha çok hukuki nitelik mi taşıdığı yoksa siyasi niteliğinin mi ağır bastığı gibi özellikler üslup üzerinde belirleyici olmaktadır.</w:t>
      </w:r>
    </w:p>
    <w:p w14:paraId="7287C73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Mülakat incelemesi yapanlar odak grubunun söylem analizini yaparken temel hipotezleri formüle etmelerine yardımcı olması için bir semantik ağ diagramı oluşturup bundan da yararlanırlar. Böylece odak grubunun tartışmasında kullandığı önemli kavramlar arasında ilişki kurmaları daha mümkün hale gelebilir. </w:t>
      </w:r>
    </w:p>
    <w:p w14:paraId="5DF36E2A" w14:textId="77777777" w:rsidR="002858AE" w:rsidRPr="00E97E0B" w:rsidRDefault="002858AE" w:rsidP="00E93FD2">
      <w:pPr>
        <w:pStyle w:val="Heading3"/>
      </w:pPr>
      <w:bookmarkStart w:id="27" w:name="_Toc141133059"/>
      <w:r w:rsidRPr="00E97E0B">
        <w:lastRenderedPageBreak/>
        <w:t>2.2.3. Politik Söylem Hakkında</w:t>
      </w:r>
      <w:bookmarkEnd w:id="27"/>
      <w:r w:rsidRPr="00E97E0B">
        <w:t xml:space="preserve"> </w:t>
      </w:r>
    </w:p>
    <w:p w14:paraId="5ED61699"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Siyasetin; iktidarın veya daha temel bir terimle gücün, gücü elinde bulundurmayan tarafından elde edilmesi veya elinde bulunduran tarafından korunması amaçlarıyla hareket ederek gücün peşinden koşma ve peşinden koşanı engelleme mücadelesi olarak tanımlanması mümkündür. Diğer taraftan bir başka perspektifle para, güç, özgürlük ve benzeri konularda ortaya çıkan çıkar çatışmalarını çözmek üzere toplumun oluşturduğu işbirliği, uygulamalar ve kurumlar olarak da tanımlanabilir. Siyaseti mikro ve makro düzey ayrımı üzerinden okuyacak olursak mikro düzeyde çıkar çatışmaları, tahakküm mücadelesi işbirliği ve uzlaşma çabaları bireyler ve çeşitli gruplar arasında sürekli olarak meydana gelir. Makro düzeyde ise hakim olan kişi veya grupların hakimiyetini korumak için çıkar çatışmalarını çözme çabaları söz konusudur. Bunu da o toplumun kurumlarının özelliklerinin sunduğu imkanlar çerçevesinde yapmak mümkün olur. Her iki düzey de dil edimi ile gerçekleşir. Bunun adı da söylemdir. Siyaset ayrışmaları tartışma, ikna gibi araçlarla yani esasen iletişim yoluyla çözmeyi içinde barındıran bir kavramdır.</w:t>
      </w:r>
    </w:p>
    <w:p w14:paraId="562DE78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Gücün ve dilin siyasetteki rolleri üzerinde düşünürken kararların yalnızca güç kullanarak alınmasıyla siyasetin yapılabilmesinin neredeyse imkansız olduğu ve arkasında gücün olmadığı bir siyasi kararın alınmasının da o ölçüde imkansız olduğu ilk anda akla gelir. Bu durumda dilin ve dil kullanımının siyaset yapımındaki yeri az çok anlaşılır bir hal almaktadır. </w:t>
      </w:r>
    </w:p>
    <w:p w14:paraId="3A177710"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İnsanın en ayırt edici özelliklerinden biri Aristo'nun da dile getirdiği üzere polis/şehirlerde yaşaması ve konuşma kabiliyetidir. Aristo; hayvanlar da ses çıkararak acı ve mutluluk gibi duyguları ifade edebileceğini ancak insanı eşsiz kılan dilin farklı olarak iyi kötü adil ve adil olmayan ayrımını bu dil yoluyla yapabildiğini söylemiştir. Buradan hareketle paylaşılan değer algıları siyasi yönelim ve aidiyetleri belirler, diyebiliriz. Yine aynı noktada Aristo'nun devleti ve haneyi siyasi yönelim ve aidiyetler var eder, demesinden her ikisi arasında benzerlik kurduğu </w:t>
      </w:r>
      <w:r w:rsidRPr="00E97E0B">
        <w:rPr>
          <w:rFonts w:ascii="Times" w:eastAsia="Calibri" w:hAnsi="Times" w:cs="Times New Roman"/>
          <w:sz w:val="24"/>
          <w:szCs w:val="24"/>
        </w:rPr>
        <w:lastRenderedPageBreak/>
        <w:t>sonucunu çıkarabiliriz. Bu benzerlik her iki kavramın da toplum olgusunu içinde barındırıyor olmasıdır.</w:t>
      </w:r>
      <w:r w:rsidRPr="00E97E0B">
        <w:rPr>
          <w:rFonts w:ascii="Times" w:eastAsia="Calibri" w:hAnsi="Times" w:cs="Times New Roman"/>
          <w:sz w:val="24"/>
          <w:szCs w:val="24"/>
          <w:vertAlign w:val="superscript"/>
        </w:rPr>
        <w:footnoteReference w:id="44"/>
      </w:r>
    </w:p>
    <w:p w14:paraId="313F7EEC"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Sosyal olanla ilişkisi bakımında öne çıkarılan insanın en belirleyici özelliklerinden biri olan konuşma yeteneğinin aynı zamanda sosyal zekanın dille ilişkisine vurgu yaptığını düşünebiliriz. Sosyal işlevlerin de aynı şekilde siyasetle olan ilişkisi aslında dille siyasetin birbirini neredeyse gerektirir kavramlar olduğunu gösterir. Dil zorunlu olarak toplumsal ve siyasal aidiyetin de bir aracı olmaktadır. Bir siyasi grubun konuştuğu dili bilmeyen biri o topluluk içinde diğerleriyle varsayımsal olarak eşit olma potansiyeline sahip olarak siyasi veya toplumsal faaliyette bulunamaz. Hatta aynı dil içinde yer alan farklı varyasyonlar bile aynı toplumun farklı alt gruplarına aidiyeti de temsil eder niteliktedir.</w:t>
      </w:r>
      <w:r w:rsidRPr="00E97E0B">
        <w:rPr>
          <w:rFonts w:ascii="Times" w:eastAsia="Calibri" w:hAnsi="Times" w:cs="Times New Roman"/>
          <w:sz w:val="24"/>
          <w:szCs w:val="24"/>
          <w:vertAlign w:val="superscript"/>
        </w:rPr>
        <w:footnoteReference w:id="45"/>
      </w:r>
    </w:p>
    <w:p w14:paraId="6BF502F7"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İnsanoğlunun tarih öncesi dönemlerdeki gelişimi süresince hayvanlarınkinden farklı bir dil geliştirmelerinin sosyal gruplaşma veya sosyal anlamda etkileşim ihtiyacıyla doğrudan bağlantılı olduğu savının yanında karşımıza çıkan bir diğer kuvvetli sav, dil yeteneğinin zaten primat beyin yapısında bulunması, bundan dolayı da sosyal zekanın bizatihi dili oluşturan ana unsur olmasıdır. Bu ikinci savı destekleyen alt savlardan biri sosyal ilişkilerin ve rekabet-işbirliğinin gelişmesinin dili gelişmeye zorladığını iddia ederken, bir diğeri Makyevelist zekanın iletişimi evrimleştirdiği ve böylelikle bir kazan-kazan durumunun yaratıldığını savunmaktadır. Bu fikrin de iki alt dayanağı bulunmaktadır; ilki insanın besin yerine bilgi paylaşma konusunda kendini geliştirmesinin karşılıklı bir özgecilik stratejisi olduğu ki bu da aslında evrimsel açıdan stratejik kabul edilebilir bir argümandır, diğeri de grup kimliği oluşturarak kimin kendisinden olduğunu kiminle yardımlaşacağını bilmek amacını taşıdığı düşünceleridir. Bir diğer önemli nokta da insan dilinin hayvan dilinden farklı olarak sadece temsil kabiliyetini değil aynı zamanda meta-temsil kabiliyetini de haiz olmasıdır; insan anlık duygu, bilgi ve hareket ifade edebilmenin ötesinde halihazırda olmayan ancak zihninde olan şeyleri ima ederek de bildirme yetkinliğine sahiptir. Tam da bu noktada insan siyaset yapma yeteneğinin </w:t>
      </w:r>
      <w:r w:rsidRPr="00E97E0B">
        <w:rPr>
          <w:rFonts w:ascii="Times" w:eastAsia="Calibri" w:hAnsi="Times" w:cs="Times New Roman"/>
          <w:sz w:val="24"/>
          <w:szCs w:val="24"/>
        </w:rPr>
        <w:lastRenderedPageBreak/>
        <w:t>başlangıcındadır. Bireylerin çıkarına olan hedefleri plan yaparak kolektif bir hareketle işbirliği içinde yapma eğilimi insan türünde oldukça belirgindir. İletişim yoluyla da bulunduğu koşulun dışındaki referansları birbirine bildirme ve düşünme kabiliyeti olan insan geçmişi şimdi ve geleceği düşünme kapasitesine de sahiptir. Birlikte gelecek tasarlayan hayal edebilen insan bireyleri ortak iyi için güdülenme hatta hiçbir zaman sonunu göremeyecekleri projeler için büyük fedakarlıklarda bulunma kapasitesine de sahiptir.</w:t>
      </w:r>
      <w:r w:rsidRPr="00E97E0B">
        <w:rPr>
          <w:rFonts w:ascii="Times" w:eastAsia="Calibri" w:hAnsi="Times" w:cs="Times New Roman"/>
          <w:sz w:val="24"/>
          <w:szCs w:val="24"/>
          <w:vertAlign w:val="superscript"/>
        </w:rPr>
        <w:footnoteReference w:id="46"/>
      </w:r>
    </w:p>
    <w:p w14:paraId="317FB8C4" w14:textId="02314B4F"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Dil kullanma becerisi aynı zamanda dilin temel amacına yönelik olarak doğru bilgiyi karşılıklı olarak paylaşarak bir işbirliği yapma davranışına yönlendirdiğinden hem doğru veya yararlı bilgiye ulaşma hem de özellikle grup dışından gelebilecek yanlış bilgiyi savuşturma yeteneklerinin süreç içinde kazanılmasına hizmet etmiş görünmektedir. Chomsky, dilin özgürlük alanı yarattığını söyleyerek bunu öncelikle üretken yaratıcılık ilkesiyle, ikinci olarak da dil işlevi bakımından sadece iletişimden ibaret değildir, ilkesiyle anlatmaktadır.</w:t>
      </w:r>
      <w:r w:rsidRPr="00E97E0B">
        <w:rPr>
          <w:rFonts w:ascii="Times" w:eastAsia="Calibri" w:hAnsi="Times" w:cs="Times New Roman"/>
          <w:sz w:val="24"/>
          <w:szCs w:val="24"/>
          <w:vertAlign w:val="superscript"/>
        </w:rPr>
        <w:footnoteReference w:id="47"/>
      </w:r>
      <w:r w:rsidRPr="00E97E0B">
        <w:rPr>
          <w:rFonts w:ascii="Times" w:eastAsia="Calibri" w:hAnsi="Times" w:cs="Times New Roman"/>
          <w:sz w:val="24"/>
          <w:szCs w:val="24"/>
        </w:rPr>
        <w:t xml:space="preserve"> Ona göre dil yalnızca iletişim kurmaya da yaramaz. Bu fikri açımlamak için bilişsel işlevlerimizin bile dilden bağımsız gerçekleşmediğini hatırlamak yerinde olacaktır. Her ne kadar dili sosyal ve siyasi bağlar olmasa da genetik olarak kullanma ve uygulama yetimiz ve eğilimimiz olsa da düşünce dünyamızın en önemli bileşenlerinden biri olan dilin sosyal ve siyasi hayata içkin olmadığı iddia edilemez. Hatta bu ikisinin insanda paralel ve etkileşim halinde geliştiği de bilinmektedir.</w:t>
      </w:r>
    </w:p>
    <w:p w14:paraId="0BDFF49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Chomsky’nin dilin özgürleştirici olduğu savına karşılık Edward Sapir ve Benjamin Lee Whorf gibi yazarlar dilin kalıplarının, düşüncelerin yönünü büyük ölçüde tayin ettiğini ve şekillendirdiğini savunurlar.</w:t>
      </w:r>
      <w:r w:rsidRPr="00E97E0B">
        <w:rPr>
          <w:rFonts w:ascii="Times" w:eastAsia="Calibri" w:hAnsi="Times" w:cs="Times New Roman"/>
          <w:sz w:val="24"/>
          <w:szCs w:val="24"/>
          <w:vertAlign w:val="superscript"/>
        </w:rPr>
        <w:footnoteReference w:id="48"/>
      </w:r>
      <w:r w:rsidRPr="00E97E0B">
        <w:rPr>
          <w:rFonts w:ascii="Times" w:eastAsia="Calibri" w:hAnsi="Times" w:cs="Times New Roman"/>
          <w:sz w:val="24"/>
          <w:szCs w:val="24"/>
        </w:rPr>
        <w:t xml:space="preserve"> İfadelerin morfolojileri dilden dile değişen morfemlerin kuruluş ve düzenleri düşüncenin gidişatını ve bazı algıları daha kolay seçmeyi sağlayabilse de düşünceyi, iknayı, algıyı, bilişi ve davranışı ne ölçüde gerçekten etkileyeceği de tartışılır bir durumdur. Kullanımdaki dil ve kullanımlar her ne kadar belirli konularda kavramsal çerçeve oluştursa da bu kavramlar tıpkı oluşturuldukları gibi yerlerine yenileri koyulabilir veya güncellenebilir yahut değiştirilebilir. Öyle ki dil, illa konuşucularını bir şekilde </w:t>
      </w:r>
      <w:r w:rsidRPr="00E97E0B">
        <w:rPr>
          <w:rFonts w:ascii="Times" w:eastAsia="Calibri" w:hAnsi="Times" w:cs="Times New Roman"/>
          <w:sz w:val="24"/>
          <w:szCs w:val="24"/>
        </w:rPr>
        <w:lastRenderedPageBreak/>
        <w:t>düşünmeye zorlamaz, tartışma her zaman mümkündür ve ifadeler farklı yapı ve tarzlarla aynı anlama gelebilecek şekilde ifade edilebilir, bu da sosyal veya dilsel kalıpların kısıtlayıcı olma özelliğini bertaraf edebilir.</w:t>
      </w:r>
      <w:r w:rsidRPr="00E97E0B">
        <w:rPr>
          <w:rFonts w:ascii="Times" w:eastAsia="Calibri" w:hAnsi="Times" w:cs="Times New Roman"/>
          <w:sz w:val="24"/>
          <w:szCs w:val="24"/>
          <w:vertAlign w:val="superscript"/>
        </w:rPr>
        <w:footnoteReference w:id="49"/>
      </w:r>
    </w:p>
    <w:p w14:paraId="29B655D0"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Dilin siyasetle ilişkisi kaçınılmazdır ve söylem de dilin pratikteki kullanımını işaret eden bir kavram olarak siyasetin ana unsurlarındandır. Söylem sadece siyasetin değil hayatın ve disiplinlerin neredeyse her alanına girmiş olmakla birlikte yaygın bir şekilde siyasete içkindir. Konumuzun da siyasal söylem olmasından dolayı bu konuya eğilmeye çalışacağız. Siyasal söylem terim olarak iki muhtemel anlama işaret eder, ilki belirli bir söylemin siyasi olma niteliği, ikincisi ise yalnızca söylem olma özelliği taşıyan bir ifadenin siyasi içeriğe ya da bağlama doğrudan referans vermemesi durumunda bu ifadenin çözülmesi gerekliliğidir. Dahası söylemin olduğu her yerde siyasi içeriğin olduğu sonucuna varılabilir.</w:t>
      </w:r>
      <w:r w:rsidRPr="00E97E0B">
        <w:rPr>
          <w:rFonts w:ascii="Times" w:eastAsia="Calibri" w:hAnsi="Times" w:cs="Times New Roman"/>
          <w:sz w:val="24"/>
          <w:szCs w:val="24"/>
          <w:vertAlign w:val="superscript"/>
        </w:rPr>
        <w:footnoteReference w:id="50"/>
      </w:r>
      <w:r w:rsidRPr="00E97E0B">
        <w:rPr>
          <w:rFonts w:ascii="Times" w:eastAsia="Calibri" w:hAnsi="Times" w:cs="Times New Roman"/>
          <w:sz w:val="24"/>
          <w:szCs w:val="24"/>
        </w:rPr>
        <w:t xml:space="preserve"> Hatta pek çok dilde olduğu gibi dilimizde daha çok politika ve politik kelimeleri daha nadir olmakla birlikte ‘siyasi davranmak’ gibi ifadelerde de görüleceği üzere siyaset kelimesi; iktidar, çatışma, denetim gibi kavramların içinde yer aldığı durumlarda kullanılır olduğundan ve de çeşitli disiplinlerdeki söylem incelemelerinin de bir şekilde siyasi nitelikle ilişkilendirilmesinden dolayı kavramın aşırı genelleştirilmesi riski ortaya çıkmaktadır. Bu nedenle siyasal veya politik söylemi, siyasetçiler ve siyasi kurumlarla sınırlandırmak en azından bu çalışmadaki siyasal söylem incelemesini de bu şekilde çerçevelendirmek yerinde olacaktır. </w:t>
      </w:r>
    </w:p>
    <w:p w14:paraId="5306DF0F"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Siyasi alanda söylem çözümlemesi yapanlar siyasi söylem alanına girmiş olurlar. Van Dijk’a göre bu yalnızca çözümleme konusu siyasi olduğundan değil aynı zamanda çözümleyiciler kendilerini siyasi aktör haline getirdiklerinden de olur. Geis gibi siyasi söylem çalışmalarının çoğunun aslında kendi siyasi önyargılarını yansıttığını söyleyenlere karşı Gastil, siyasi söylemin tümüyle nesnel bir anlatımını ortaya koymanın zor olduğu gerçeğini kabul etmelerine rağmen </w:t>
      </w:r>
      <w:r w:rsidRPr="00E97E0B">
        <w:rPr>
          <w:rFonts w:ascii="Times" w:eastAsia="Calibri" w:hAnsi="Times" w:cs="Times New Roman"/>
          <w:sz w:val="24"/>
          <w:szCs w:val="24"/>
        </w:rPr>
        <w:lastRenderedPageBreak/>
        <w:t>çözümleyicilerin kendi bakış açılarını ve motivasyonlarını ortaya koymalarının yararlı olacağını söylemektedir.</w:t>
      </w:r>
      <w:r w:rsidRPr="00E97E0B">
        <w:rPr>
          <w:rFonts w:ascii="Times" w:eastAsia="Calibri" w:hAnsi="Times" w:cs="Times New Roman"/>
          <w:sz w:val="24"/>
          <w:szCs w:val="24"/>
          <w:vertAlign w:val="superscript"/>
        </w:rPr>
        <w:footnoteReference w:id="51"/>
      </w:r>
      <w:r w:rsidRPr="00E97E0B">
        <w:rPr>
          <w:rFonts w:ascii="Times" w:eastAsia="Calibri" w:hAnsi="Times" w:cs="Times New Roman"/>
          <w:sz w:val="24"/>
          <w:szCs w:val="24"/>
        </w:rPr>
        <w:t xml:space="preserve"> </w:t>
      </w:r>
    </w:p>
    <w:p w14:paraId="49A81BC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Söylemin siyasi niteliğinden bahsederken akılda tutulması gereken iki önemli kavramdan biri temsil diğeri de dönüşümdür. Temsil etme olay ve olguları ve bilgiyi nasıl kavrayabileceğimiz, zihnimizde nasıl bir yere oturtabileceğimizle ilgili bir meseledir. Benzer ifadeleri farklı biçimlerde ve sözcüklerle anlamak ve açıklamak temsil kelimesinin burada açıkladığı kapsama girer. İki çeşit temsil perspektifinden söz edebiliriz: evrenselci ve görececi temsil. Evrenselci perspektife göre dil düşündüklerimizi ifade etmek için bir vasıta konumundadır. Dünyayı kavramamız evrensel kavramsal öncüller üzerinden gerçekleşir ve bu nedenle dil kullanıcıları dilin kendisinden bağımsız olarak düşünür ve hareket edebilir. Görececi yaklaşım ise dilsel kaynakların kavrayışı kökten etkilediğini ve bu nedenle de siyasi bağlam içinde varılacak neticelerin belirgin bir şekilde görüldüğünü söyler. Taylor gibi görececiliğe yakın görüşleri savunanlar, temsiliyet meselesini dünyanın öznel ve nesnel bilgileri olarak tanımlar; bu, bir sohbet odası içinde tüm başlıkları ve içeriklerini tamamen ve aynı anda görecek bir konum olmamasıyla öznellik savunusu arasında bir koşutluk kurularak açıklanır.</w:t>
      </w:r>
      <w:r w:rsidRPr="00E97E0B">
        <w:rPr>
          <w:rFonts w:ascii="Times" w:eastAsia="Calibri" w:hAnsi="Times" w:cs="Times New Roman"/>
          <w:sz w:val="24"/>
          <w:szCs w:val="24"/>
          <w:vertAlign w:val="superscript"/>
        </w:rPr>
        <w:footnoteReference w:id="52"/>
      </w:r>
    </w:p>
    <w:p w14:paraId="513DF57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Söylem analizindeki yol gösterici kavramlardan bir diğeri de genellemedir. Kavram, konuşma veya etkileşimin iyice gözlemlenerek tekrar eden kalıpların fark edilmesi veya tanımlanması yoluyla söylemi ortaya koyanın söylemiyle hangi eylemi gerçekleştirdiğini anlamlandırmasını anlatır.</w:t>
      </w:r>
      <w:r w:rsidRPr="00E97E0B">
        <w:rPr>
          <w:rFonts w:ascii="Times" w:eastAsia="Calibri" w:hAnsi="Times" w:cs="Times New Roman"/>
          <w:sz w:val="24"/>
          <w:szCs w:val="24"/>
          <w:vertAlign w:val="superscript"/>
        </w:rPr>
        <w:footnoteReference w:id="53"/>
      </w:r>
      <w:r w:rsidRPr="00E97E0B">
        <w:rPr>
          <w:rFonts w:ascii="Times" w:eastAsia="Calibri" w:hAnsi="Times" w:cs="Times New Roman"/>
          <w:sz w:val="24"/>
          <w:szCs w:val="24"/>
        </w:rPr>
        <w:t xml:space="preserve">  </w:t>
      </w:r>
    </w:p>
    <w:p w14:paraId="50FE7FB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Dönüşüm ise ifadeleri temsil ile bağlantılı olarak kendi perspektifinden yorumlamayı veya tekrar formüle etmeyi kapsar. Dilin, öteki olanın düşüncesini etkileme amacıyla kullanılması yolu da bununla bağlantılıdır, buna manipülasyon adı verilir. Genelde bu durum olmayan bir şeyi iddia etmek için değil, var olan şeyler içinde algıda seçicilik yaratmak yani algı seçiciliğini yönlendirmek veya toplumda gerçekliğin kavranmasının engellenmesi amacıyla gerçekleştirilir. George Orwell’in </w:t>
      </w:r>
      <w:r w:rsidRPr="00E97E0B">
        <w:rPr>
          <w:rFonts w:ascii="Times" w:eastAsia="Calibri" w:hAnsi="Times" w:cs="Times New Roman"/>
          <w:i/>
          <w:sz w:val="24"/>
          <w:szCs w:val="24"/>
        </w:rPr>
        <w:t>1984</w:t>
      </w:r>
      <w:r w:rsidRPr="00E97E0B">
        <w:rPr>
          <w:rFonts w:ascii="Times" w:eastAsia="Calibri" w:hAnsi="Times" w:cs="Times New Roman"/>
          <w:sz w:val="24"/>
          <w:szCs w:val="24"/>
        </w:rPr>
        <w:t xml:space="preserve"> adlı kitabında yer verdiği manipülasyon, kötü olan şeyleri </w:t>
      </w:r>
      <w:r w:rsidRPr="00E97E0B">
        <w:rPr>
          <w:rFonts w:ascii="Times" w:eastAsia="Calibri" w:hAnsi="Times" w:cs="Times New Roman"/>
          <w:sz w:val="24"/>
          <w:szCs w:val="24"/>
        </w:rPr>
        <w:lastRenderedPageBreak/>
        <w:t xml:space="preserve">toplumdan gizlemek amacıyla kavramları ters anlama gelecek şekilde dönüştürmekti. Bu, Fairclough’un eleştirel söylem bakışıyla oldukça uyumludur. Söylem çözümlemesi kısmında ise dilsel ve dilbilimsel özelliklerle siyasi bağlamın ilişkilendirilmesi gerekecektir. Burada her iki alan arasında denge kurmak söylem çözümlemesinin sağlığını temin için oldukça önemlidir. </w:t>
      </w:r>
      <w:r w:rsidRPr="00E97E0B">
        <w:rPr>
          <w:rFonts w:ascii="Times" w:eastAsia="Calibri" w:hAnsi="Times" w:cs="Times New Roman"/>
          <w:sz w:val="24"/>
          <w:szCs w:val="24"/>
          <w:vertAlign w:val="superscript"/>
        </w:rPr>
        <w:footnoteReference w:id="54"/>
      </w:r>
    </w:p>
    <w:p w14:paraId="4E7767A0"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İkil kavramsallaştırma ve zıtlıklar siyasi söylemde sıklıkla başvurulan bir yoldur. Her ne kadar sözcük dağarcığı sözgelimi olasılıkları ve imkanları, toplumsal kabulü ve meşruiyeti anlatabiliyor olsa da karşıtlığa dayalı sözcük dağarcığı seçimi siyasi söylemde ağırlık kazanmaktadır. Bu sayede verici de alıcı da zihninde karşıtlık ilişkileri kurarak kendini daha kolay ifade eder veya söylemi daha kolay alımlar. Bu etkileşim halindeyken grup kimliğini oluştururken de sık başvurulduğu gözlemlenen bir yöntemdir. Yabancı ve öteki korkusu ve ondan gelecek varsayımsal yahut gerçek tehlike grup aidiyetini ve dayanışmasını perçinleyen bir unsurdur.</w:t>
      </w:r>
      <w:r w:rsidRPr="00E97E0B">
        <w:rPr>
          <w:rFonts w:ascii="Times" w:eastAsia="Calibri" w:hAnsi="Times" w:cs="Times New Roman"/>
          <w:sz w:val="24"/>
          <w:szCs w:val="24"/>
          <w:vertAlign w:val="superscript"/>
        </w:rPr>
        <w:footnoteReference w:id="55"/>
      </w:r>
    </w:p>
    <w:p w14:paraId="55CF4987" w14:textId="735194F8"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Siyasi temsiller aktörlerin ve ilişkilerinin bir kümesinden oluşur. Dil de bizlere semantik işlevler kazandırabildiğimiz temsiller üzerinden iletişim kurma </w:t>
      </w:r>
      <w:r w:rsidR="00F80826" w:rsidRPr="00E97E0B">
        <w:rPr>
          <w:rFonts w:ascii="Times" w:eastAsia="Calibri" w:hAnsi="Times" w:cs="Times New Roman"/>
          <w:sz w:val="24"/>
          <w:szCs w:val="24"/>
        </w:rPr>
        <w:t>imkânı</w:t>
      </w:r>
      <w:r w:rsidRPr="00E97E0B">
        <w:rPr>
          <w:rFonts w:ascii="Times" w:eastAsia="Calibri" w:hAnsi="Times" w:cs="Times New Roman"/>
          <w:sz w:val="24"/>
          <w:szCs w:val="24"/>
        </w:rPr>
        <w:t xml:space="preserve"> sağlar. Dili tutarlı bir şekilde kullanmamıza yardım eden önemli unsurlardan biri de artgönderimlerin süreklilik arz edecek şekilde temsilleri inşa etmeyi sürdürmesidir. Bununla birlikte siyasi söylem bir takım bilişsel ve öngörüsel çerçeveleri kalıcı hale getirebiliyorsa etkili olur.</w:t>
      </w:r>
      <w:r w:rsidRPr="00E97E0B">
        <w:rPr>
          <w:rFonts w:ascii="Times" w:eastAsia="Calibri" w:hAnsi="Times" w:cs="Times New Roman"/>
          <w:sz w:val="24"/>
          <w:szCs w:val="24"/>
          <w:vertAlign w:val="superscript"/>
        </w:rPr>
        <w:footnoteReference w:id="56"/>
      </w:r>
    </w:p>
    <w:p w14:paraId="0C44A92C"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Siyasal söylem uzamsal bilişle iç içedir. İnsan zihninin soyut konularda dahi haritalandırma yaptığı ve alan kavramının antropolojik geçmişi göz önünde bulundurulursa bu önem daha iyi anlaşılır. Ayrıca metoforik akıl yürütme de söyleme içkindir. Çıkarım yapmayı sağlayan metaforlar hem deneyimlere hem de bilgiye dayalıdır. Bu nedenle siyasal söylem açısından asıl önemi edebi olması değil geleceğe dair açık bir anlama sağlıyor olmasıdır. Aynı şekilde uzamsal/mekansal metaforlar kimliği ve aidiyeti erişilebilir kılar. Özellikle siyasi dil kullanımının beyinde yer alan duygusal merkezleri uyararak doğuştan gelen teritoryal aidiyet, kimlik, ev, aile, yabacının alan ihlali gibi durumlara verdiği tepkilerle benzer </w:t>
      </w:r>
      <w:r w:rsidRPr="00E97E0B">
        <w:rPr>
          <w:rFonts w:ascii="Times" w:eastAsia="Calibri" w:hAnsi="Times" w:cs="Times New Roman"/>
          <w:sz w:val="24"/>
          <w:szCs w:val="24"/>
        </w:rPr>
        <w:lastRenderedPageBreak/>
        <w:t>tepkileri vermesini sağladığı hipotezi siyasal söylemin önemine dair önemli bir ipucu niteliğindedir.</w:t>
      </w:r>
    </w:p>
    <w:p w14:paraId="411AAA6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Siyasi söylemin bir diğer önemli özelliği kullanımdaki dille ortaya çıkan bilişsel özellikli belirim boyutları (deictic dimensions) içermesidir. Bunlar siyasi söylemin analizinde kendini gösterir ve konuşucunun yerini belirlemek açısından kendini en fazla uluslararası arenada göstermektedir. Söylem kendilikle diğer kendiliklerin arasındaki pozisyon almalarda kimliği göstermek açısından önemlidir. Söylemde çoğunlukla ben ve biz kişi belirleyicileri (personal deictic) kullanımda olur. Anı zamanda 'şimdi', 'burada', 'doğru' ve 'iyi' gibi kavramların da kendilikle sıkça kendini gösterir. Bu aynı zamanda kimliğimizin nasıl oluştuğu sorusuna bazı ipuçlarıyla yanıt verir gibidir. İnsan doğuştan kişisel kimlik algı ve duygusuna sahip olup büyük ölçüde dilsel iletişim yoluyla öznel deneyimleri, bireysel ve kolektif düzeyde yapılandırıyor gibi görülmektedir. Kimlik de söylem üzerinden ötekileri uzamsal eksende, zaman ekseninde ve doğruluk/haklılık ekseninde ötekini/ötekileri kendini merkezi konuma sabitlemek suretiyle konumlandırır.</w:t>
      </w:r>
      <w:r w:rsidRPr="00E97E0B">
        <w:rPr>
          <w:rFonts w:ascii="Times" w:eastAsia="Calibri" w:hAnsi="Times" w:cs="Times New Roman"/>
          <w:sz w:val="24"/>
          <w:szCs w:val="24"/>
          <w:vertAlign w:val="superscript"/>
        </w:rPr>
        <w:footnoteReference w:id="57"/>
      </w:r>
    </w:p>
    <w:p w14:paraId="37079B04" w14:textId="77777777" w:rsidR="002858AE" w:rsidRPr="00E97E0B" w:rsidRDefault="002858AE" w:rsidP="00E93FD2">
      <w:pPr>
        <w:pStyle w:val="Heading3"/>
      </w:pPr>
      <w:bookmarkStart w:id="31" w:name="_Toc141133060"/>
      <w:r w:rsidRPr="00E97E0B">
        <w:t>2.2.4. Söylem Analizinin Amacı ve Getirileri</w:t>
      </w:r>
      <w:bookmarkEnd w:id="31"/>
    </w:p>
    <w:p w14:paraId="39D2B661" w14:textId="47C83E95"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Söylem; eylem yönelimli, inşa edici ve edilen ve bir de argümantatif ve retoriksel bağlamı olan bir kavramdır. Eylem yönelimli olmasından kasıt söylemin bir eylemi icra ediyor olmasıdır, herhangi bir bilgi aktarıyor olması değil; yani söylem üretilirken aslında hangi eylemin yapıldığıdır. Bunu anlamak için söylemin nasıl yapıldığına bakarak incelemek yerinde olacaktır. Söylemin inşa ediciliği ise üretilirken kurduğu gerçekliğe gönderme yapar, bu bir kavramın içeriğinin nasıl doldurulduğu meselesiyle de ilgilidir. Falanca kavramın birçok olası versiyonu vardır ancak söylemi ortaya koyan onlardan birini inşa eder. Retoriksel bağlam da bahsi geçen versiyonları bağlama gömülü bir şekilde gelişir ve birbirini takip eden ve belli bir süreklilik arz eden bir etkileşimi içerir. Ancak burada bir mantık denkleminde olduğu gibi birbirini hep takip eden bir argümantatif peşisıralık yoktur. Konuşma bölünür bağlam kayar ve bunun gibi pek çok sebepten ötürü arada kopukluklar olur. Bu nedenle dil o bağlamın kendi etkileşiminde bir gerçeklik oluşturur ve anlam inşa eder. Retorik ve argümantatif açıdan ikna edici olması </w:t>
      </w:r>
      <w:r w:rsidRPr="00E97E0B">
        <w:rPr>
          <w:rFonts w:ascii="Times" w:eastAsia="Calibri" w:hAnsi="Times" w:cs="Times New Roman"/>
          <w:sz w:val="24"/>
          <w:szCs w:val="24"/>
        </w:rPr>
        <w:lastRenderedPageBreak/>
        <w:t>gerekir ki icra edilen eylemle amaca ulaşılabilsin. Söylem anlam kaynaklarına, geleneksel ve normatif kaynaklara dayanan ilişkisel ortak bir üretimdir.</w:t>
      </w:r>
      <w:r w:rsidRPr="00E97E0B">
        <w:rPr>
          <w:rFonts w:ascii="Times" w:eastAsia="Calibri" w:hAnsi="Times" w:cs="Times New Roman"/>
          <w:sz w:val="24"/>
          <w:szCs w:val="24"/>
          <w:vertAlign w:val="superscript"/>
        </w:rPr>
        <w:footnoteReference w:id="58"/>
      </w:r>
    </w:p>
    <w:p w14:paraId="63AB7D7B" w14:textId="1EFE7572"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Ancak realistlere göre söylemin dışında bir dünya vardır, algılarımız da o dış dünyadaki gerçekliğe yakın bir ortalama gerçekliği tutturabilir. Parker’ın söylem dışı dünya vurgusu ve Collier’nin maddesel gerçekliği toplumsal gerçekliğin önüne koyması buna örnek gösterilebilir. Dolayısıyla gerçeklik algılarımız tarafından yalnızca kısmî olarak değişikliğe uğrar. Diğer taraftan görgülcüler nesnelliğin dayandığı temelin sistematik gözlemle oluşturulan veri olduğunu savunurlar ve teorik çalışmanın bunu sağlamadığını savunurlar, zira gözlenmemiş bir olgu hakkında analiz yapmanın mümkün olmayacağını savunurlar. Bir diğer epistemolojik duruş ise pozitivizmdir, buna göre gerçeğe dair bir tek doğru yanıt söz konusudur. Ancak bu duruşa yöneltilen bazı eleştiriler vardır, bunların en önemlisi, doğru bilgiye ulaşmayı sağlayacak olan gözlem ve analizlerin sayısının pratik sebeplerden ötürü sınırlı olmak zorunda olması bu çalışmaların yine sınırlı ve kısıtlı veri elde etmesidir. Sosyal inşacılığa göre ise insanın bilgi haznesinin gerçeğe dair görünümler ürettiğini ve bunların da gerçeği olduğu gibi yansıtmadığını ve fakat toplumsal düzeyde ortak bir kanı oluşturduğundan gerçek muammelesi gördüklerini savunur. Bu nedenle sosyal inşacı yaklaşımın realist yaklaşımın bir anlamda eleştirisi olduğu düşünülebilir. Özcülüğü reddeder, kişi buna göre algılayan değildir zira algılamak daha doğrudan bir anlamayı kasteder, kişi buna göre anlamlandırma işini yapar, bundan dolayı da inşa edendir.</w:t>
      </w:r>
      <w:r w:rsidRPr="00E97E0B">
        <w:rPr>
          <w:rFonts w:ascii="Times" w:eastAsia="Calibri" w:hAnsi="Times" w:cs="Times New Roman"/>
          <w:sz w:val="24"/>
          <w:szCs w:val="24"/>
          <w:vertAlign w:val="superscript"/>
        </w:rPr>
        <w:footnoteReference w:id="59"/>
      </w:r>
      <w:r w:rsidRPr="00E97E0B">
        <w:rPr>
          <w:rFonts w:ascii="Times" w:eastAsia="Calibri" w:hAnsi="Times" w:cs="Times New Roman"/>
          <w:sz w:val="24"/>
          <w:szCs w:val="24"/>
        </w:rPr>
        <w:t xml:space="preserve"> Bu perspektifle inceleme yaparken nasıl bir anlamın inşa edildiğiyle ilgilenilir. Nitel araştırma anlayışı da bu bakımdan öne çıkar, örneğin bir toplumsal olgunun aktörler açısından ele alacak olursak aktörlerin nasıl anlamlandırdığını, bunun onları nasıl düşünmeye ve hareket etmeye sevk ettiğini anlamaya çalışır. Ancak herhangi bir olgunun nasıl anlaşıldığına dair bir sefere mahsus bir inceleme yapılması sadece o kişi(ler) için ve o zaman </w:t>
      </w:r>
      <w:r w:rsidR="00F80826" w:rsidRPr="00E97E0B">
        <w:rPr>
          <w:rFonts w:ascii="Times" w:eastAsia="Calibri" w:hAnsi="Times" w:cs="Times New Roman"/>
          <w:sz w:val="24"/>
          <w:szCs w:val="24"/>
        </w:rPr>
        <w:t>mekân</w:t>
      </w:r>
      <w:r w:rsidRPr="00E97E0B">
        <w:rPr>
          <w:rFonts w:ascii="Times" w:eastAsia="Calibri" w:hAnsi="Times" w:cs="Times New Roman"/>
          <w:sz w:val="24"/>
          <w:szCs w:val="24"/>
        </w:rPr>
        <w:t xml:space="preserve"> şartlarında geçerli olabilir. Bu nedenle Heraklitos’un meşhur “Aynı nehirde iki kere yıkanılmaz” sözü örneğinde olduğu gibi yıkanan ve nehir değiştikçe araştırma tekrarlanmak durumundadır. Nitel araştırma korelatif ilişki veya sebep sonuç ilişkisini kuramıyor olması </w:t>
      </w:r>
      <w:r w:rsidRPr="00E97E0B">
        <w:rPr>
          <w:rFonts w:ascii="Times" w:eastAsia="Calibri" w:hAnsi="Times" w:cs="Times New Roman"/>
          <w:sz w:val="24"/>
          <w:szCs w:val="24"/>
        </w:rPr>
        <w:lastRenderedPageBreak/>
        <w:t>nedeniyle de eleştirilere maruz kalır, nitel yaklaşım bu ilişki türlerinin açıklayıcı olmadığını kabul eder. Bu nedenle önceden tanımlanan değişkenlerin araştırılması beklenmez.</w:t>
      </w:r>
      <w:r w:rsidRPr="00E97E0B">
        <w:rPr>
          <w:rFonts w:ascii="Times" w:eastAsia="Calibri" w:hAnsi="Times" w:cs="Times New Roman"/>
          <w:sz w:val="24"/>
          <w:szCs w:val="24"/>
          <w:vertAlign w:val="superscript"/>
        </w:rPr>
        <w:footnoteReference w:id="60"/>
      </w:r>
      <w:r w:rsidRPr="00E97E0B">
        <w:rPr>
          <w:rFonts w:ascii="Times" w:eastAsia="Calibri" w:hAnsi="Times" w:cs="Times New Roman"/>
          <w:sz w:val="24"/>
          <w:szCs w:val="24"/>
        </w:rPr>
        <w:t xml:space="preserve"> Burada bir diğer önemli nokta da bilim yapmanın önkoşulu nesnellik olmaması düşüncesidir. Parker, sosyal inşacı yaklaşımla bilim yapmanın önkoşulunun nesnellik olmadığını söyler. Dünyayı anlamlandırırken yani anlam inşa ederken bir bakış açısının diğerine baskın gelmesi gerekli değildir.</w:t>
      </w:r>
      <w:r w:rsidRPr="00E97E0B">
        <w:rPr>
          <w:rFonts w:ascii="Times" w:eastAsia="Calibri" w:hAnsi="Times" w:cs="Times New Roman"/>
          <w:sz w:val="24"/>
          <w:szCs w:val="24"/>
          <w:vertAlign w:val="superscript"/>
        </w:rPr>
        <w:footnoteReference w:id="61"/>
      </w:r>
      <w:r w:rsidRPr="00E97E0B">
        <w:rPr>
          <w:rFonts w:ascii="Times" w:eastAsia="Calibri" w:hAnsi="Times" w:cs="Times New Roman"/>
          <w:sz w:val="24"/>
          <w:szCs w:val="24"/>
        </w:rPr>
        <w:t xml:space="preserve"> Bu aynı zamanda postmodernizmin de bu konuyla ilgili yaklaşımıyla örtüşmektedir. Diğer taraftan refleksivitenin (düşünümsellik) de gerekçesi olarak görülebilir. Araştırmacı bu ilkeye göre öznelliğinin farkında olmak durumundadır ve bunu incelemeye dahil ederek aslında çalışmasını bir anlam inşası cephesinden oluşturduğunu da açık eder, böylece araştırmasını inceleyen bir göz de araştırmanın hangi perspektifle yapıldığının da ayırdına daha iyi bir şekilde varabilir. </w:t>
      </w:r>
    </w:p>
    <w:p w14:paraId="44F9B42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Söylem analizi bir yöntem olarak görülmez, aynı zamanda bir analiz olarak da kabul edilmez. Söylem analizi daha ziyade dünyaya ve bilgiye dair takınılan bir tavır olarak anlatılır. Bu nedenle de söylem analizini yapanlar yaptıkları analizde bir dünya görüşünü perspektifleri olarak benimser ver bunun üzerinden bir analiz sunarlar. Araştırmacılar kendi dünya görüşleri doğrultusunda ortaya koydukları çalışmanın pek çok diğer dünya görüşünün sunabileceği diğer açıklamalardan yalnızca biri olduğunu bilerek bunu yapar.</w:t>
      </w:r>
      <w:r w:rsidRPr="00E97E0B">
        <w:rPr>
          <w:rFonts w:ascii="Times" w:eastAsia="Calibri" w:hAnsi="Times" w:cs="Times New Roman"/>
          <w:sz w:val="24"/>
          <w:szCs w:val="24"/>
          <w:vertAlign w:val="superscript"/>
        </w:rPr>
        <w:footnoteReference w:id="62"/>
      </w:r>
      <w:r w:rsidRPr="00E97E0B">
        <w:rPr>
          <w:rFonts w:ascii="Times" w:eastAsia="Calibri" w:hAnsi="Times" w:cs="Times New Roman"/>
          <w:sz w:val="24"/>
          <w:szCs w:val="24"/>
        </w:rPr>
        <w:t xml:space="preserve"> Elbette sundukları perspektif ele alabilecekleri konular içinden yalnızca birini açıklama şekillerini içerir. Söylem analizi yaparken bir konu kapsamında bulunabilecek oldukça fazla sayıda belgenin potansiyel mevcudiyeti söz konusu olduğundan bu neredeyse sınırsız sayıdaki belge arasından seçim yapmak gereklidir. Bu noktada hangi verilerin seçileceği konusu oldukça önemlidir. Söylem analizi yaparken seçilecek belgelerin nasıl seçileceği aynı zamanda nelerin seçilmeyeceğine dikkat etmeyi de gerektirir. </w:t>
      </w:r>
    </w:p>
    <w:p w14:paraId="3A80CED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Söylem analizi araştırması; konusu olan yer, zaman ve kişilerle sınırlı olmak durumundadır. Belirli bir araştırmadan genel geçer kurallar çıkartmak geçerliliği ve güvenilirliği ve özellikle de tekrar edilebilirliği beklemek uygun olmaz. Bu nedenle </w:t>
      </w:r>
      <w:r w:rsidRPr="00E97E0B">
        <w:rPr>
          <w:rFonts w:ascii="Times" w:eastAsia="Calibri" w:hAnsi="Times" w:cs="Times New Roman"/>
          <w:sz w:val="24"/>
          <w:szCs w:val="24"/>
        </w:rPr>
        <w:lastRenderedPageBreak/>
        <w:t xml:space="preserve">de sebep sonuç ilişkisini kurma bakımından da söylem analizi uygun değildir. Söylem analizi özgün koşulların özgün verilerini ortaya koyar. </w:t>
      </w:r>
    </w:p>
    <w:p w14:paraId="7A8B5741" w14:textId="77777777" w:rsidR="002858AE" w:rsidRPr="00E97E0B" w:rsidRDefault="002858AE" w:rsidP="00E93FD2">
      <w:pPr>
        <w:pStyle w:val="Heading3"/>
      </w:pPr>
      <w:bookmarkStart w:id="32" w:name="_Toc141133061"/>
      <w:r w:rsidRPr="00E97E0B">
        <w:t>2.2.5. Söylem Analizi Yaklaşımları</w:t>
      </w:r>
      <w:bookmarkEnd w:id="32"/>
    </w:p>
    <w:p w14:paraId="4E9F5A50"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Çalışmada daha önce belirtildiği üzere söylem ve söylem analizi disiplinler arası bir yaklaşımı gerektiren ve pek çok disiplinin bilgi dağarcığından ve pratiğinden faydalanılabilen bir alandır. Söylem analizi için genel olarak yararlanılan söylem analizi yaklaşımları, Söylemsel Psikoloji, Foucaultcu Söylem Analizi ve Eleştirel Söylem Analizi başlıkları altında incelenebilir. Söylem analizi bir meta-analizdir. Söyleneni yani analiz yapılanı analiz eder. İlk evresi 1940 yıllarda başlyan toplumbilimci araştırmaların ardından 1960’lı yıllarda Garfinkel gibi isimlerle sosyolojik bir zeminde mit anlatı ve benzeri metinlerin analiziyle devam eden ardından 1970’li yıllarda sosyoloji alanındaki eylem kavramı, dilbilimsel kavramlar olan anlatım ve konuşma yolları evresine kadar sürer. Bu ikinci evrede analiz retoriğin ve dil pratiklerinin bir uzantısı olarak incelenir hale gelir. Ardından üçüncü dönem olarak 1980’lerde yaygınlaşan Foucaultcu analiz önem kazanır, buna göre söylem analizi bir meta-analiz olarak kullanılır. 1990’lardan sonra da refleksif bir analiz olarak eleştirel dilbilimcilerin ağırlığıyla eleştirel söylem analizi olarak gelişir.</w:t>
      </w:r>
      <w:r w:rsidRPr="00E97E0B">
        <w:rPr>
          <w:rFonts w:ascii="Times" w:eastAsia="Calibri" w:hAnsi="Times" w:cs="Times New Roman"/>
          <w:sz w:val="24"/>
          <w:szCs w:val="24"/>
          <w:vertAlign w:val="superscript"/>
        </w:rPr>
        <w:footnoteReference w:id="63"/>
      </w:r>
      <w:r w:rsidRPr="00E97E0B">
        <w:rPr>
          <w:rFonts w:ascii="Times" w:eastAsia="Calibri" w:hAnsi="Times" w:cs="Times New Roman"/>
          <w:sz w:val="24"/>
          <w:szCs w:val="24"/>
        </w:rPr>
        <w:t xml:space="preserve"> Söylem analizinin çalışmada ele alınamayacak kadar zengin ve çokboyutlu bir çalışma olduğunu söylemek gerekir. Bu nedenle aşağıda sadece birkaç başlık altında söylem analizinin bazı temel boyutlarına yer verilebilecektir. </w:t>
      </w:r>
    </w:p>
    <w:p w14:paraId="52589916" w14:textId="77777777" w:rsidR="002858AE" w:rsidRPr="00E97E0B" w:rsidRDefault="002858AE" w:rsidP="00E93FD2">
      <w:pPr>
        <w:pStyle w:val="Heading4"/>
      </w:pPr>
      <w:bookmarkStart w:id="33" w:name="_Toc141133062"/>
      <w:r w:rsidRPr="00E97E0B">
        <w:t>2.2.5.1. Söylemsel Psikoloji</w:t>
      </w:r>
      <w:bookmarkEnd w:id="33"/>
      <w:r w:rsidRPr="00E97E0B">
        <w:t xml:space="preserve"> </w:t>
      </w:r>
    </w:p>
    <w:p w14:paraId="2BF5BBA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Söylemsel psikoloji, bilişsel psikolojide özellikleri bakımından betimleyici görünüm altında incelenen konuşma ve diyalogları farklı olarak nesnel veya psikolojik nitelikte görmez. </w:t>
      </w:r>
      <w:r w:rsidRPr="00E97E0B">
        <w:rPr>
          <w:rFonts w:ascii="Times" w:eastAsia="Calibri" w:hAnsi="Times" w:cs="Times New Roman"/>
          <w:sz w:val="24"/>
          <w:szCs w:val="24"/>
          <w:vertAlign w:val="superscript"/>
        </w:rPr>
        <w:footnoteReference w:id="64"/>
      </w:r>
      <w:r w:rsidRPr="00E97E0B">
        <w:rPr>
          <w:rFonts w:ascii="Times" w:eastAsia="Calibri" w:hAnsi="Times" w:cs="Times New Roman"/>
          <w:sz w:val="24"/>
          <w:szCs w:val="24"/>
        </w:rPr>
        <w:t xml:space="preserve"> Geleneksel psikolojide hafıza ve muhakeme algılar vasıtasıyla oluşturulmuş bilişsel olgulardır. Dolayısıyla zihinsel yapılar, temsiller veya işlemler olarak kavramsallaştırılmışlardır. Söylemsel psikoloji esas itibariyle </w:t>
      </w:r>
      <w:r w:rsidRPr="00E97E0B">
        <w:rPr>
          <w:rFonts w:ascii="Times" w:eastAsia="Calibri" w:hAnsi="Times" w:cs="Times New Roman"/>
          <w:sz w:val="24"/>
          <w:szCs w:val="24"/>
        </w:rPr>
        <w:lastRenderedPageBreak/>
        <w:t>insan eylemleri ve pratikleri olan iletişim etkileşim, argüman ve bu pratiklerin çeşitli modeller çerçevesinde tanzim edilmesiyle ilgilenir.</w:t>
      </w:r>
      <w:r w:rsidRPr="00E97E0B">
        <w:rPr>
          <w:rFonts w:ascii="Times" w:eastAsia="Calibri" w:hAnsi="Times" w:cs="Times New Roman"/>
          <w:sz w:val="24"/>
          <w:szCs w:val="24"/>
          <w:vertAlign w:val="superscript"/>
        </w:rPr>
        <w:footnoteReference w:id="65"/>
      </w:r>
    </w:p>
    <w:p w14:paraId="0D2CEDA2" w14:textId="77777777" w:rsidR="002858AE" w:rsidRPr="00E97E0B" w:rsidRDefault="002858AE" w:rsidP="002858AE">
      <w:pPr>
        <w:spacing w:before="120" w:after="120" w:line="360" w:lineRule="auto"/>
        <w:jc w:val="both"/>
        <w:rPr>
          <w:rFonts w:ascii="Times" w:eastAsia="Calibri" w:hAnsi="Times" w:cs="Times New Roman"/>
          <w:sz w:val="24"/>
          <w:szCs w:val="24"/>
        </w:rPr>
      </w:pPr>
      <w:r w:rsidRPr="00E97E0B">
        <w:rPr>
          <w:rFonts w:ascii="Times" w:eastAsia="Calibri" w:hAnsi="Times" w:cs="Times New Roman"/>
          <w:sz w:val="24"/>
          <w:szCs w:val="24"/>
        </w:rPr>
        <w:t>Sosyal inşacılığın temel kavramlarından sosyal etkileşim ve dil, pek çok teorisyen tarafından üzerinde durulan unsurlardır.  Söylemsel psikoloji, sosyal inşacılığın kökten özcülük karşıtı yaklaşımıyla ortaklaşarak özellikle dilin, tutumlar, inançlar, duygular ve anılar gibi içsel zihinsel durumların veya bilişlerin bir temsili veya bunlara giden yol olduğu fikrine karşı çıkar. Bununla birlikte, bu tür bilişsel faaliyetlerin varlığını zorunlu olarak inkâr etmeye çalışmaz. Söylemsel psikoloji, şeylerin varlığını veya doğasını tartışmaz ve insanların günlük yaşamlarında dil kullanımını nasıl gerçekleştirdiğini dili nasıl kullandığını ve diğer kişilerle etkileşim halindeyken ürettikleri söylemlerini inceler. Dahası kendileriyle etkileşimde bulunanların kendileri için kuvvetli tesirleri olabilecek olayların açıklamalarını ortaya koyarken dil becerilerini kullanmakta ne kadar usta olduklarıyla ilgilenir. Bu demektir ki söylemsel psikoloji öncelikli olarak dilin eylemsel işlevlerine odaklanmaktadır. Bu inşacı yaklaşım psikolojik olgulara yaklaşım açısından ana akım psikoloji ile karşı karşıya gelmektedir. Özellikle hafıza, duygulanım benzeri temel zihinsel süreçleri kapsayan psikolojik olgulara söylemsel psikoloji, insanın sahip olduğu ya da onda gerçekleşen olgular olarak değil, insanın fail olarak yaptığı şeyler olarak bakmaktadır. Söylemsel yaklaşımı benimseyen bazı psikologlar da etkileşimde bulunanların öngörme ve hesaplama pratiklerinin ötesine geçerek çağdaş toplumdaki ideolojilerin gücüyle nasıl yakından ilişkili olabileceğini incelediler.</w:t>
      </w:r>
      <w:r w:rsidRPr="00E97E0B">
        <w:rPr>
          <w:rFonts w:ascii="Times" w:eastAsia="Calibri" w:hAnsi="Times" w:cs="Times New Roman"/>
          <w:sz w:val="24"/>
          <w:szCs w:val="24"/>
          <w:vertAlign w:val="superscript"/>
        </w:rPr>
        <w:footnoteReference w:id="66"/>
      </w:r>
    </w:p>
    <w:p w14:paraId="0FA50BEA" w14:textId="77777777" w:rsidR="002858AE" w:rsidRPr="00E97E0B" w:rsidRDefault="002858AE" w:rsidP="002858AE">
      <w:pPr>
        <w:spacing w:before="120" w:after="120" w:line="360" w:lineRule="auto"/>
        <w:jc w:val="both"/>
        <w:rPr>
          <w:rFonts w:ascii="Times" w:eastAsia="Calibri" w:hAnsi="Times" w:cs="Times New Roman"/>
          <w:sz w:val="24"/>
          <w:szCs w:val="24"/>
        </w:rPr>
      </w:pPr>
      <w:r w:rsidRPr="00E97E0B">
        <w:rPr>
          <w:rFonts w:ascii="Times" w:eastAsia="Calibri" w:hAnsi="Times" w:cs="Times New Roman"/>
          <w:sz w:val="24"/>
          <w:szCs w:val="24"/>
        </w:rPr>
        <w:t xml:space="preserve">Söylemsel psikoloji bir inşacı yaklaşım ürünü iken diğer taraftan yapıbozumculukla zıtlık teşkil eder. Foucault ve Derrida gibi temsilcileri olan yapıbozumculuk işaretler sistemi olarak dilin inşacı gücüne işaret eder. Bu kişinin kendi inşa etme kapasitesini vurgulamasından epey farklıdır. Zira kurucu faktör olma bakımından dil ile kişi arasında yapılan seçim aslında sosyolojideki fail ile yapı arasındaki seçime gönderme yapmaktadır. </w:t>
      </w:r>
      <w:r w:rsidRPr="00E97E0B">
        <w:rPr>
          <w:rFonts w:ascii="Times" w:eastAsia="Calibri" w:hAnsi="Times" w:cs="Times New Roman"/>
          <w:sz w:val="24"/>
          <w:szCs w:val="24"/>
          <w:vertAlign w:val="superscript"/>
        </w:rPr>
        <w:footnoteReference w:id="67"/>
      </w:r>
    </w:p>
    <w:p w14:paraId="49C6BBFE"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lastRenderedPageBreak/>
        <w:t>Harré gibi sosyal psikoloji uzmanlarına göre psikoloji yapay bilimlerin bir parçası olup bu alanda incelenmesi gereken asıl konu sembolik etkileşim formlarıdır. Ona göre psikoloji antropoloji, hukuk ve dilbilimi gibi kültürel bilimlerin konusudur. Bunun nedeni olarak da yalnızca metafizik temelin ortaklığını değil aynı zamanda psikoloji alanının sınırlarında olduğu kabul edilen olguların geniş bir kısmının temelde söylemsel olmasını gösterir. Etkileşimsel süreçlerin sonucu olarak Bir konuşma modeli üzerinde en iyi şekilde düşünülen etkileşimsel süreçlerde üretilirler. Bu tür bir yaklaşım sosyal psikolojinin söylem analizi yaklaşımını açıklamaktadır.</w:t>
      </w:r>
      <w:r w:rsidRPr="00E97E0B">
        <w:rPr>
          <w:rFonts w:ascii="Times" w:eastAsia="Calibri" w:hAnsi="Times" w:cs="Times New Roman"/>
          <w:sz w:val="24"/>
          <w:szCs w:val="24"/>
          <w:vertAlign w:val="superscript"/>
        </w:rPr>
        <w:footnoteReference w:id="68"/>
      </w:r>
      <w:r w:rsidRPr="00E97E0B">
        <w:rPr>
          <w:rFonts w:ascii="Times" w:eastAsia="Calibri" w:hAnsi="Times" w:cs="Times New Roman"/>
          <w:sz w:val="24"/>
          <w:szCs w:val="24"/>
        </w:rPr>
        <w:t xml:space="preserve"> Üstelik söylemsel psikoloji aslında psikolojiyi söylem analizi çerçevesine alarak teorileştirmeyi zorunlu olmaktan çıkardığı gibi konuşmaları da sosyal eylemler olarak kabul eder ve bu şekilde kavramlaştırır. Bu kapsamda sözgelimi ayrımcı içeriği bulunan bir söylemin nedeni bağlamı düşünülerek ele alınır ve bir tutum olarak değil söylemde icra edilen ve belirli çıkarlar ve kaçındıkları tehlikeler gözetilerek gerçekleştirilmiş bir eylem olarak ele alınır. Esas itibariyle söylemi üretenin bağlam içinde ne yaptığına odaklanılır. Bu yaklaşımın dikkate değer yararlarından bir tanesi, psikolojinin aksine söylemsel psikolojide failin yaptıkları bir tutum olarak değerlendirilmediğinden örneğin ayrımcılık gibi etik açıdan olumsuz kabul edilen davranışlar kişiye sabit davranış olarak alınmaz. Öyle olsaydı davranışların değişmez ve sabit kalacağını düşünmek gerekirdi. Söylemsel psikolojinin ilgilendiği konulardan bir diğeri psikolojinin kavramsal kategorilerinin inceleme konusu olan etkileşim veya konuşma içinde kullanılma şeklidir. Üçüncü olarak da psikolojik kavram setinin söylem üreticisi tarafından konuşma veya açıklamalar içinde nasıl ele alınıp yönetildiği, konuşanın gerçek ya da doğru kabulünü etkileşim içindeyken ne zaman ve ne durumda ürettildiği hangi kalıpların kullanıldığı ve bunun nasıl ortaya koyulduğudur.</w:t>
      </w:r>
      <w:r w:rsidRPr="00E97E0B">
        <w:rPr>
          <w:rFonts w:ascii="Times" w:eastAsia="Calibri" w:hAnsi="Times" w:cs="Times New Roman"/>
          <w:sz w:val="24"/>
          <w:szCs w:val="24"/>
          <w:vertAlign w:val="superscript"/>
        </w:rPr>
        <w:footnoteReference w:id="69"/>
      </w:r>
    </w:p>
    <w:p w14:paraId="6826CAA6"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Söylemsel psikolojide analiz genel olarak verilerin kodlanmasıyla ve metnin araştırmacı tarafından defalarca okunması/dinlemesi üzerinden gerçekleştirilir. Bu nedenle yapılan konuşmalar içindeki kalıplar sıkça dinlenerek konuşmalar mümkün mertebe aslına sadık bir şekilde kaydedilerek gerçekleştirilir ki ufak detaylar yeri geldiğinde araştırmacının dikkatini çekebilsin. Bu veriler tekrar tekrar incelenerek </w:t>
      </w:r>
      <w:r w:rsidRPr="00E97E0B">
        <w:rPr>
          <w:rFonts w:ascii="Times" w:eastAsia="Calibri" w:hAnsi="Times" w:cs="Times New Roman"/>
          <w:sz w:val="24"/>
          <w:szCs w:val="24"/>
        </w:rPr>
        <w:lastRenderedPageBreak/>
        <w:t>sonunda araştırmacının fark ettiği ve ayıkladığı kalıplar ortaya koyulur. Araştırma sürecinde birden fazla araştırmacının olması metinde fark edilen ortak kalıpların birbiriyle karşılaştırılması bakımından önemli ve araştırmanın subjektifliğini törpüleyen bir işleve sahiptir. Ancak söylemsel psikolojinin metin yönelimli olması konuşanların dünya görüşünü, içinde bulundukları bağlamı ve konumlarını ihmal etme riskini taşır.</w:t>
      </w:r>
      <w:r w:rsidRPr="00E97E0B">
        <w:rPr>
          <w:rFonts w:ascii="Times" w:eastAsia="Calibri" w:hAnsi="Times" w:cs="Times New Roman"/>
          <w:sz w:val="24"/>
          <w:szCs w:val="24"/>
          <w:vertAlign w:val="superscript"/>
        </w:rPr>
        <w:footnoteReference w:id="70"/>
      </w:r>
    </w:p>
    <w:p w14:paraId="3339382B" w14:textId="77777777" w:rsidR="002858AE" w:rsidRPr="00E97E0B" w:rsidRDefault="002858AE" w:rsidP="00E93FD2">
      <w:pPr>
        <w:pStyle w:val="Heading4"/>
      </w:pPr>
      <w:bookmarkStart w:id="37" w:name="_Toc141133063"/>
      <w:r w:rsidRPr="00E97E0B">
        <w:t>2.2.5.2. Foucaultcu Söylem Analizi</w:t>
      </w:r>
      <w:bookmarkEnd w:id="37"/>
    </w:p>
    <w:p w14:paraId="352C98BF"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Disiplinler arası çalışmış olduğundan farklı eğilimleri ve bazı etkileri bir arada temsil etmeyi seçtiği için tasnif edilmesi zor siyaset düşünürlerinden biri olan Foucault siyaset felsefesinin en önemli konularından biri olan güce yaptığı vurguyla tanınmaktadır. Ancak ilginç bir şekilde onu açıkça tanımlamayarak ve muğlak bir kavram olarak bırakmayı ve büyük boy bir teori geliştirmemeyi özellikle seçmiştir. Dahası çalışmalarındaki tarihsel nitelik ve kuram oluşturmaya olumsuz bakışı nedeniyle teorik çerçeve dahilinde karşılaştırılma yaparak incelenmesini güçleştirmiştir. Ayrıca bu nedenle tutarlı ve bütünlüklü bir teori oluşturmamış olması güç, iktidar, bilgi. özgürlük, kimlik ve özne meselelerinde açtığı yeni ufuklara rağmen sürekli eleştiriye maruz kalmıştır.</w:t>
      </w:r>
      <w:r w:rsidRPr="00E97E0B">
        <w:rPr>
          <w:rFonts w:ascii="Times" w:eastAsia="Calibri" w:hAnsi="Times" w:cs="Times New Roman"/>
          <w:sz w:val="24"/>
          <w:szCs w:val="24"/>
          <w:vertAlign w:val="superscript"/>
        </w:rPr>
        <w:footnoteReference w:id="71"/>
      </w:r>
      <w:r w:rsidRPr="00E97E0B">
        <w:rPr>
          <w:rFonts w:ascii="Times" w:eastAsia="Calibri" w:hAnsi="Times" w:cs="Times New Roman"/>
          <w:sz w:val="24"/>
          <w:szCs w:val="24"/>
        </w:rPr>
        <w:t xml:space="preserve"> Diğer taraftan bahsini ettiğimiz kavramların tanımını yapmamakla birlikte, Foucault bu kavramlara dair çok sayıda betimleme ve açıklama yapmıştır. Özne, kimlik, güç, tahakküm, bilgi ve söylem kavramlarının işaret ettiği unsurların iktidar tarafından şekillendirilmesinin tarihini incelemiş ve söylemin bu tarihsel süreçteki rolüne vurgu yapmıştır.  </w:t>
      </w:r>
    </w:p>
    <w:p w14:paraId="0AECAA09"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Özneyi fail-yapı ikilliği ekseni açısından yapısalcı bir perspektifle değerlendiren Foucault, öznenin failliğini reddederken bu savını pozitivist ve kartezyen nitelikteki modernitenin şemsiyesi altında ortaya koymaz, bilakis aşkın özne fikrine karşı çıkarak insanı hem özne hem nesne olarak görebilen bir anlayışla savunduğu </w:t>
      </w:r>
      <w:r w:rsidRPr="00E97E0B">
        <w:rPr>
          <w:rFonts w:ascii="Times" w:eastAsia="Calibri" w:hAnsi="Times" w:cs="Times New Roman"/>
          <w:i/>
          <w:sz w:val="24"/>
          <w:szCs w:val="24"/>
        </w:rPr>
        <w:t>söylem düzeni</w:t>
      </w:r>
      <w:r w:rsidRPr="00E97E0B">
        <w:rPr>
          <w:rFonts w:ascii="Times" w:eastAsia="Calibri" w:hAnsi="Times" w:cs="Times New Roman"/>
          <w:sz w:val="24"/>
          <w:szCs w:val="24"/>
        </w:rPr>
        <w:t xml:space="preserve"> kavramsallaştırmasını antidiyalektik, materyalist ve şeylerin düzenine bağlı bir terkip üzerine oturtur. Özne, söyleme dahil olarak </w:t>
      </w:r>
      <w:r w:rsidRPr="00E97E0B">
        <w:rPr>
          <w:rFonts w:ascii="Times" w:eastAsia="Calibri" w:hAnsi="Times" w:cs="Times New Roman"/>
          <w:sz w:val="24"/>
          <w:szCs w:val="24"/>
        </w:rPr>
        <w:lastRenderedPageBreak/>
        <w:t>söylemin anlamlandırma sürecinde oluşturulan bir niteliğe bürünür.</w:t>
      </w:r>
      <w:r w:rsidRPr="00E97E0B">
        <w:rPr>
          <w:rFonts w:ascii="Times" w:eastAsia="Calibri" w:hAnsi="Times" w:cs="Times New Roman"/>
          <w:sz w:val="24"/>
          <w:szCs w:val="24"/>
          <w:vertAlign w:val="superscript"/>
        </w:rPr>
        <w:footnoteReference w:id="72"/>
      </w:r>
      <w:r w:rsidRPr="00E97E0B">
        <w:rPr>
          <w:rFonts w:ascii="Times" w:eastAsia="Calibri" w:hAnsi="Times" w:cs="Times New Roman"/>
          <w:sz w:val="24"/>
          <w:szCs w:val="24"/>
        </w:rPr>
        <w:t xml:space="preserve"> Foucault’da özne ve birey tutarlı rasyonel bir varlık olarak kabul edilmemelidir.</w:t>
      </w:r>
    </w:p>
    <w:p w14:paraId="3443DC29"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Yöntemini dayandırdığı tarih, bir süreklilik arz etmek yerine ona göre çatışma, kırılma ve değişmelerden oluşur. Tarihsel anlatı ve bilgi de bir konu hakkında neyin nasıl olmuş olduğunu bilmeyi de içerir. Tarihe dair büyük anlatıların sokaktaki hayatla ve hayatın pratikleriyle çelişir durumda olduğunu ve bazı anlatıların ki özellikle akademik anlatıların bir yandan gerçeğe dair bilgiyi denetlediğini diğer taraftan ise insan bedeni üzerinde üzerinde disiplin sağlar ve egemenlik kurar. Böylece bilgi dil üzerinden iktidarı sağlar ve kontrol eder.</w:t>
      </w:r>
      <w:r w:rsidRPr="00E97E0B">
        <w:rPr>
          <w:rFonts w:ascii="Times" w:eastAsia="Calibri" w:hAnsi="Times" w:cs="Times New Roman"/>
          <w:sz w:val="24"/>
          <w:szCs w:val="24"/>
          <w:vertAlign w:val="superscript"/>
        </w:rPr>
        <w:footnoteReference w:id="73"/>
      </w:r>
      <w:r w:rsidRPr="00E97E0B">
        <w:rPr>
          <w:rFonts w:ascii="Times" w:eastAsia="Calibri" w:hAnsi="Times" w:cs="Times New Roman"/>
          <w:sz w:val="24"/>
          <w:szCs w:val="24"/>
        </w:rPr>
        <w:t xml:space="preserve"> Ayrıca söylem metinsel bir bütünlük olmalı ve bütün halinde analiz edilmelidir.</w:t>
      </w:r>
      <w:r w:rsidRPr="00E97E0B">
        <w:rPr>
          <w:rFonts w:ascii="Times" w:eastAsia="Calibri" w:hAnsi="Times" w:cs="Times New Roman"/>
          <w:sz w:val="24"/>
          <w:szCs w:val="24"/>
          <w:vertAlign w:val="superscript"/>
        </w:rPr>
        <w:footnoteReference w:id="74"/>
      </w:r>
    </w:p>
    <w:p w14:paraId="2A61CFE9"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Foucaultcu söylem analizi, yorum gücünü kullanmak yerine daha çok cümleciklerin ötesinde bir metinsel yapı seviyesinde ve söylem güç ve ideoloji odaklı bir analizi içerir. Ancak pek çok analist bu önermeyi reddederek yorumun söylemin olmazsa olmazı olduğunu savunmuştur. Bu anlayış eylemleri ve pratikleri gücü düzenleyen stratejiler olarak kavrar. Bu nedenle Foucaultcu analiz eylem ve pratik olarak gördüğü söylemleri analiz etmeyi tercih eder.</w:t>
      </w:r>
      <w:r w:rsidRPr="00E97E0B">
        <w:rPr>
          <w:rFonts w:ascii="Times" w:eastAsia="Calibri" w:hAnsi="Times" w:cs="Times New Roman"/>
          <w:sz w:val="24"/>
          <w:szCs w:val="24"/>
          <w:vertAlign w:val="superscript"/>
        </w:rPr>
        <w:footnoteReference w:id="75"/>
      </w:r>
      <w:r w:rsidRPr="00E97E0B">
        <w:rPr>
          <w:rFonts w:ascii="Times" w:eastAsia="Calibri" w:hAnsi="Times" w:cs="Times New Roman"/>
          <w:sz w:val="24"/>
          <w:szCs w:val="24"/>
        </w:rPr>
        <w:t xml:space="preserve">  </w:t>
      </w:r>
    </w:p>
    <w:p w14:paraId="0571EE4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Foucault’nun söylem analiziyle ilgili en temel kavramları olarak arkeoloji ve jeneoloji/soykütüğü gösterebiliriz. Arkeolojik çözümleme ifadesi, söylemleri ortaya çıkaran ve tasvir eden bir anlamı işaret eder. Arkeolojik çözümleme söylem olarak ele alınan araştırma konularının birbiriyle karşılaştırması, aynı dönem içinde onları mukayese etmesi ve aynı zamanda içerisinde bulunmayanlardan ayırt etmesi, onları söylem olarak kabul edilemeycek uygulamalarla ilişkiye sokması anlamına gelir. Bu siyasal alanla ilgili süreçler zincirini betimlemek için de başvurulan bir yöntemdir.</w:t>
      </w:r>
      <w:r w:rsidRPr="00E97E0B">
        <w:rPr>
          <w:rFonts w:ascii="Times" w:eastAsia="Calibri" w:hAnsi="Times" w:cs="Times New Roman"/>
          <w:sz w:val="24"/>
          <w:szCs w:val="24"/>
          <w:vertAlign w:val="superscript"/>
        </w:rPr>
        <w:footnoteReference w:id="76"/>
      </w:r>
      <w:r w:rsidRPr="00E97E0B">
        <w:rPr>
          <w:rFonts w:ascii="Times" w:eastAsia="Calibri" w:hAnsi="Times" w:cs="Times New Roman"/>
          <w:sz w:val="24"/>
          <w:szCs w:val="24"/>
        </w:rPr>
        <w:t xml:space="preserve"> Tarihsel soykütüğü çıkarmak tarihi dönem içindeki çıkarlara ve çatışmalara dayalı ilişkilerin ışığında anlamak demektir. Soykütüksel tarih, olayların kendine has olduğunun ve herhangi tekdüze veya değişmez telosun </w:t>
      </w:r>
      <w:r w:rsidRPr="00E97E0B">
        <w:rPr>
          <w:rFonts w:ascii="Times" w:eastAsia="Calibri" w:hAnsi="Times" w:cs="Times New Roman"/>
          <w:sz w:val="24"/>
          <w:szCs w:val="24"/>
        </w:rPr>
        <w:lastRenderedPageBreak/>
        <w:t>varlığına dayandırılmaksızın anlaşılmasıdır. Nietzsche’nin anlayışına uygun olarak tarihi belirli ezeli bir amaç ışığında tarihi değerlendirmek yerine onu güç istenci ile anlamaktır.</w:t>
      </w:r>
      <w:r w:rsidRPr="00E97E0B">
        <w:rPr>
          <w:rFonts w:ascii="Times" w:eastAsia="Calibri" w:hAnsi="Times" w:cs="Times New Roman"/>
          <w:sz w:val="24"/>
          <w:szCs w:val="24"/>
          <w:vertAlign w:val="superscript"/>
        </w:rPr>
        <w:footnoteReference w:id="77"/>
      </w:r>
      <w:r w:rsidRPr="00E97E0B">
        <w:rPr>
          <w:rFonts w:ascii="Times" w:eastAsia="Calibri" w:hAnsi="Times" w:cs="Times New Roman"/>
          <w:sz w:val="24"/>
          <w:szCs w:val="24"/>
        </w:rPr>
        <w:t xml:space="preserve"> Foucault ilk dönemlerinde arkeoloji yöntemine daha fazla vurgu yaparken sonraki dönemlerde jeneolojiye daha fazla ilgi göstermiştir. Bunun nedeni ise başlarda bilginin tarihsel süreçte nasıl oluştuğuna ve epistemin dünyasının nasıl döneme ve bağlama özgün olduğunu göstermek iken daha sonraları bunun söylemi kapalı devre bir değişmez unsur olarak görülme şeklinde anlaşılma riskidir, zira Laclau’nun Foucault’nun arkeolojisine, söylemsel oluşumunun heterojenliğe indirgeyici özelliği üzerinden eleştiri yönelttiği bilinmektedir. Sonraları söylemin tekrar tekrar yenilenen bir tarihselliğe içkin olduğunu vurgulayarak bir anlamda başlardaki vurgusunu dengelemek istediğini düşünebiliriz.</w:t>
      </w:r>
      <w:r w:rsidRPr="00E97E0B">
        <w:rPr>
          <w:rFonts w:ascii="Times" w:eastAsia="Calibri" w:hAnsi="Times" w:cs="Times New Roman"/>
          <w:sz w:val="24"/>
          <w:szCs w:val="24"/>
          <w:vertAlign w:val="superscript"/>
        </w:rPr>
        <w:footnoteReference w:id="78"/>
      </w:r>
    </w:p>
    <w:p w14:paraId="7ECE919F"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Bilginin iktidarın vasıtası olma öyküsüne dair Foucault’nun yaklaşımı iktidarın insan ve bedeniyle ilgili denetimi sağlama amacı ve yöntemine dair farklı bir anlayış sunmaktadır. İnsanı ve insan kitlelerini yönetmek ve yönlendirmek amacını taşıyan iktidarın gücünü bu kitleleri ikna edebilmek için “bilgi”yi denetlemesi gerekliliğinden bahseder.  Böylelikle bir söylem uzman ağzıyla dile getirildiğinde bilgi konumuna erişerek kitlelerce kabul görür hale gelir, zira kitleleri yalnızca salt kuvvetle “dizginlemek” hiçbir iktidar için sürdürülebilir görünmemektedir.</w:t>
      </w:r>
      <w:r w:rsidRPr="00E97E0B">
        <w:rPr>
          <w:rFonts w:ascii="Times" w:eastAsia="Calibri" w:hAnsi="Times" w:cs="Times New Roman"/>
          <w:sz w:val="24"/>
          <w:szCs w:val="24"/>
          <w:vertAlign w:val="superscript"/>
        </w:rPr>
        <w:footnoteReference w:id="79"/>
      </w:r>
    </w:p>
    <w:p w14:paraId="55B588AE"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Foucault yapının özne ve fail karşısındaki belirleyici konumunu şiddetle savunduğundan genel olarak bir yapısalcı ve postyapısalcı marksist olarak görülse de postmodernlerle benzeştiği noktaları anlamak bakımından iktidarın adem-i merkezî olduğu fikrine binaen iktidar ve söylemsel pratik incelemesi yapması dikkat çekicidir. Bu anlayışla kısmi ve yerel analizlerle küçük anlatılar oluşturmanın tasvip edilir görünmektedir.</w:t>
      </w:r>
      <w:r w:rsidRPr="00E97E0B">
        <w:rPr>
          <w:rFonts w:ascii="Times" w:eastAsia="Calibri" w:hAnsi="Times" w:cs="Times New Roman"/>
          <w:sz w:val="24"/>
          <w:szCs w:val="24"/>
          <w:vertAlign w:val="superscript"/>
        </w:rPr>
        <w:footnoteReference w:id="80"/>
      </w:r>
    </w:p>
    <w:p w14:paraId="3049683C"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Foucaultcu analizde yaşamın belli sahalarında icra edilen söylemler, öznenin öznelliğine, toplumsal pratiklere ve güç ilişkilerine dair çıkarımlar </w:t>
      </w:r>
      <w:r w:rsidRPr="00E97E0B">
        <w:rPr>
          <w:rFonts w:ascii="Times" w:eastAsia="Calibri" w:hAnsi="Times" w:cs="Times New Roman"/>
          <w:sz w:val="24"/>
          <w:szCs w:val="24"/>
        </w:rPr>
        <w:lastRenderedPageBreak/>
        <w:t>yaparken kullanılan materyel oldukça çeşitli ve zengin olabilir. Analiz yapılmadan önce eylemin neden ilginç olduğu, inşa edilen konu hakkında nelerin bilindiği ve metni okurken ne gibi sonuçların ortaya çıkabileceği ile metnin güç kalıplarıyla ilişkisi sorgulanmaldır. Bu noktada sorulması gerekli görülen bazı sorular mevcuttur. Bunlar, 1) Söylemsel inşaların tanımı, 2) Ne tür söylemlerin söylem nesnesini metin içinde inşa ettiği, 3) Eylem yöneliminin tespiti yani hangi çıkar veya tehdidin söylemdeki inşanın içinde yer aldığı, 4) Konum alışlar (söylemsel inşa içinde öznelerin ne tür hak, ödev ve sınırlılıklarının olduğu) 5) Uygulamalar (Söz konusu inşalarla potaniyel olarak hangi eylemler ortaya çıkabilir?) 6) Öznelliktir. (Hangi sosyal gerçeklikler inşa edilir?)</w:t>
      </w:r>
      <w:r w:rsidRPr="00E97E0B">
        <w:rPr>
          <w:rFonts w:ascii="Times" w:eastAsia="Calibri" w:hAnsi="Times" w:cs="Times New Roman"/>
          <w:sz w:val="24"/>
          <w:szCs w:val="24"/>
          <w:vertAlign w:val="superscript"/>
        </w:rPr>
        <w:footnoteReference w:id="81"/>
      </w:r>
    </w:p>
    <w:p w14:paraId="0B30844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Foucaultcu söylem analizinin bir varyantı olarak ise Eleştirel Söylemsel Psikoloji kavramı öne sürülür. Bu tür genelde karşılıklı konuşmayı inceleyen bir analiz yöntemi olmakla birlikte kısaca bahsetmek yerinde olacaktır. Burada ise vurgu daha çok söylemin bağlam içindeki akışı ön plana çıkar ve konuşmacıların etkileşimde bulunurken ortaya koydukları retorik hamleler vurgulanır. Eleştirel Söylemsel Psikolojide farklı olarak üç temel kavram öne çıkar. Açıklayıcı repertuarlar, ideolojik ikilemler ve özne pozisyonları. Açıklayıcı repertuarları Wetherell ve Potter alet kutusuna benzetmektedir. Buna karşın Arkonaç dans gösterisinde kullanılan figürleri benzetmeyi seçmiştir. Bir gösteride sınırlı sayıda figürün neredeyse sınırsız sayıda kombinasyonunun oluşturulmasıyla özgün bir sunuma dönüşmesi söz konusudur. Açıklayıcı repertuar kavramı da aynı şekilde bir konuşmacının içinde yaşadığı ve çeşitli araçlarına sahip olduğu dil ve kültürün araçlarını belli bir kombinasyonla özgün bir şekilde sunmasını anlatır. Açıklayıcı repertuar anlama kaynağıdır. İdeolojik ikilemler ise anladığımız anlamda siyasi ideolojiyi kastetmeyen bir kavramdır. Buna göre tüm kültür ve dillerde çeşitli yargı ve mesajları iletmek için kullandığımız ancak birbiriyle zıt anlamlara gelen kalıplar ve bünyelerinde çeşitli sınırlılıkları barındıran araçlar vardır. Bu araçlar düşüncemizdeki sınırlılıkları oluşturur ve onları şekillendirir niteliktedir.</w:t>
      </w:r>
      <w:r w:rsidRPr="00E97E0B">
        <w:rPr>
          <w:rFonts w:ascii="Times" w:eastAsia="Calibri" w:hAnsi="Times" w:cs="Times New Roman"/>
          <w:sz w:val="24"/>
          <w:szCs w:val="24"/>
          <w:vertAlign w:val="superscript"/>
        </w:rPr>
        <w:footnoteReference w:id="82"/>
      </w:r>
      <w:r w:rsidRPr="00E97E0B">
        <w:rPr>
          <w:rFonts w:ascii="Times" w:eastAsia="Calibri" w:hAnsi="Times" w:cs="Times New Roman"/>
          <w:sz w:val="24"/>
          <w:szCs w:val="24"/>
        </w:rPr>
        <w:t xml:space="preserve"> </w:t>
      </w:r>
    </w:p>
    <w:p w14:paraId="141540C4" w14:textId="328ADD2A" w:rsidR="002858AE" w:rsidRPr="00E97E0B" w:rsidRDefault="002858AE" w:rsidP="00D020A6">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Sağduyusal nitelikte ve ideolojik bir ahengi bütünlük içinde oluşturamayan bu parçalı fikirler konuşmamız esnasında bizim o anki özne konumumuza uygun </w:t>
      </w:r>
      <w:r w:rsidRPr="00E97E0B">
        <w:rPr>
          <w:rFonts w:ascii="Times" w:eastAsia="Calibri" w:hAnsi="Times" w:cs="Times New Roman"/>
          <w:sz w:val="24"/>
          <w:szCs w:val="24"/>
        </w:rPr>
        <w:lastRenderedPageBreak/>
        <w:t>amaç ve niyetlerimize yönelik alet çantasını oluştururlar. Bu tür “ideolojik” araçlar kesinlikle anladığımız ahenk amacı taşıyan siyasi veya sosyal doktrinleri yansıtan bütünlüklü ideolojilerle ilgisizdir. Benzer bir şekilde özne konumları da ideolojik ikilemleri yansıtacak şekilde belirli bir siyasi veya doktrinsel ideoloji veya dünya görüşünü yansıtan bir konumu açıklamaz. Buna göre öznenin konumu da yaşamın içinde bulunulan konuma dair bir konumdur. Doktrinsel bir konumu değil pratik hayatın getirdiği durumların özne tarafından nasıl algılandığı ve bu öznenin kendisini ve kendisine göre diğer öznelerin nasıl konum aldıklarını yansıtır ve kimlikleri içerir.</w:t>
      </w:r>
      <w:r w:rsidRPr="00E97E0B">
        <w:rPr>
          <w:rFonts w:ascii="Times" w:eastAsia="Calibri" w:hAnsi="Times" w:cs="Times New Roman"/>
          <w:sz w:val="24"/>
          <w:szCs w:val="24"/>
          <w:vertAlign w:val="superscript"/>
        </w:rPr>
        <w:footnoteReference w:id="83"/>
      </w:r>
      <w:r w:rsidRPr="00E97E0B">
        <w:rPr>
          <w:rFonts w:ascii="Times" w:eastAsia="Calibri" w:hAnsi="Times" w:cs="Times New Roman"/>
          <w:sz w:val="24"/>
          <w:szCs w:val="24"/>
        </w:rPr>
        <w:t xml:space="preserve"> Söylemsel psikoloji daha ziyade katılımcıların içinde olduğu ve önde gelen temel siyasi aktörlerin söylemlerinden ziyade günlük hayatta insanların tutum ve algılarını incelerken kullanılan bir yöntemdir. Foucaultcu söylem analiziyle ayrıldığı temel nokta ilkinin söylem, güç ve ideolojiye odaklanmasıdır. </w:t>
      </w:r>
    </w:p>
    <w:p w14:paraId="0E6257C7" w14:textId="77777777" w:rsidR="002858AE" w:rsidRPr="00E97E0B" w:rsidRDefault="002858AE" w:rsidP="00E93FD2">
      <w:pPr>
        <w:pStyle w:val="Heading4"/>
      </w:pPr>
      <w:bookmarkStart w:id="42" w:name="_Toc141133064"/>
      <w:r w:rsidRPr="00E97E0B">
        <w:t>2.2.5.3. Eleştirel Söylem Analizi</w:t>
      </w:r>
      <w:bookmarkEnd w:id="42"/>
      <w:r w:rsidRPr="00E97E0B">
        <w:t xml:space="preserve"> </w:t>
      </w:r>
    </w:p>
    <w:p w14:paraId="6DCE261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Eleştirel söylem analizi dili söylem olarak çözümler.</w:t>
      </w:r>
      <w:r w:rsidRPr="00E97E0B">
        <w:rPr>
          <w:rFonts w:ascii="Times" w:eastAsia="Calibri" w:hAnsi="Times" w:cs="Times New Roman"/>
          <w:sz w:val="24"/>
          <w:szCs w:val="24"/>
          <w:vertAlign w:val="superscript"/>
        </w:rPr>
        <w:footnoteReference w:id="84"/>
      </w:r>
      <w:r w:rsidRPr="00E97E0B">
        <w:rPr>
          <w:rFonts w:ascii="Times" w:eastAsia="Calibri" w:hAnsi="Times" w:cs="Times New Roman"/>
          <w:sz w:val="24"/>
          <w:szCs w:val="24"/>
        </w:rPr>
        <w:t xml:space="preserve"> Eleştirel söylem analizinin kökeni öncelikle Marksizme dayandırılır. Bununla birlikte Frankfurt Okulu eleştirel söylem analizi kavramına eleştiri kavramının eklenmesinin nedeni olarak görülmektedir. Ayrıca self-refleksif kavramı da Habermas’ın katkısı olarak kabul edilip kendine yönelik eleştiriyi de içeren bir kavramdır. Fairclough ve Wodak’a göre gündelik yaşantıdan gerçekleştirilen yorumlarla akademik analiz arasındaki temel fark ilkinin sosyal kuram ve dil kuramlarıyla incelenmesine dayanıyor olmasıdır. Ancak analizin asıl odak noktası sosyo-kültürel süreçler ve sosyal yapıların dilsel görünümleridir. Dilsel bir biçim üzerinde durulur ve toplumsal etkileşim şekillerinin bir analizi yapılır. Eleştirel söylemde güç ilişkilerine özel bir önem verilir, bu ilişkiler söylemsel bir nitelikte addedilir. Güç ilişkilerinin nasıl yaşandığı ve nasıl müzakere edildiği eleştirel söylem analizinin asıl konusudur. Söylemin kullandığı veya sahip olduğu güçle söylemi belirleyen veya onu uygulayan gücü dinamik ifadelere dikkat edilir.</w:t>
      </w:r>
      <w:r w:rsidRPr="00E97E0B">
        <w:rPr>
          <w:rFonts w:ascii="Times" w:eastAsia="Calibri" w:hAnsi="Times" w:cs="Times New Roman"/>
          <w:sz w:val="24"/>
          <w:szCs w:val="24"/>
          <w:vertAlign w:val="superscript"/>
        </w:rPr>
        <w:footnoteReference w:id="85"/>
      </w:r>
    </w:p>
    <w:p w14:paraId="18980E0F"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Fairclough ve Wodak ESA kapsamında yedi kategorik hareketin olduğunu savunur. Bunlar: 1) ESA’nın toplumsal problemlere odaklanması 2) İktidar ilişkilerinin söylemsel niteliğine vurgu 3) Söylemin toplumu ve kültürü inşa ettiği kabulü 4) Söylemin ideolojik olarak işlediği kabulü 5) Söylemin tarihsel oluşu 6) Metin ve toplum arasındaki bağlantının dolayımlı olması 7) Söylem çözümlemesinin yorumlayıcı ve açıklayıcı olması 8) Söylemin toplumsal eylemin bir biçimi olması şeklindedir. ESA’da somut metinlerin çözümlenmesine ağırlık verilir.</w:t>
      </w:r>
      <w:r w:rsidRPr="00E97E0B">
        <w:rPr>
          <w:rFonts w:ascii="Times" w:eastAsia="Calibri" w:hAnsi="Times" w:cs="Times New Roman"/>
          <w:sz w:val="24"/>
          <w:szCs w:val="24"/>
          <w:vertAlign w:val="superscript"/>
        </w:rPr>
        <w:footnoteReference w:id="86"/>
      </w:r>
    </w:p>
    <w:p w14:paraId="1C6016D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Eleştirel söylem analizi, metinlerle etkileşimlerin detaylı analizinden yola çıkarak çeşitli metinlerin sosyal analizini yapmayı sağlar. Bu analize başvurulma amacı dilin sosyal süreçlerde nasıl ortaya çıktığını görmektir. Dilin toplumsal iktidar ve tahakküm ilişkileriyle ideolojiye içkin olduğu açık olmayan yolları göstermeyi hedeflemesi nedeniyle eleştirel sıfatını kazanır. Eleştirel analiz, farklı kaynakların bir arada kullanılabildiği bir araştırma yöntemi olup güncel toplumsal yaşamı ve sosyal bilimleri ilgilendiren konularda başvurulabilir. Çoğunlukla araştırmalarda metinler kullanılsa da görsellerden, beden dilinden ve benzeri çeşitli diğer gösterenlerden faydalanılan araştırmalar da mevcuttur. Analizin başlangıç noktasını toplumsal sorunlar oluştururken araştırmanın devamında metin ve etkileşimler ve herhangi bir türden semiyotik malzeme incelenmek üzere tespit edilebilir. ESA siyasi ve sosyal meseleler etrafındaki etkileşimlerin biçiminde ne tür değişikliklerin olduğu sorusuyla ilgilenir. Bu etkileşim biçimlerinin somut anlamda bir diyalog, müzakere veya tartışma teşkil edip etmediğiyle de ilgilenir. Politikacıların ve kamusal yaşamdaki diğerlerinin “diyalog, müzakere veya tartışmayı” temsil etme biçimleriyle nasıl karşılaştırılacağı da sorulur.</w:t>
      </w:r>
      <w:r w:rsidRPr="00E97E0B">
        <w:rPr>
          <w:rFonts w:ascii="Times" w:eastAsia="Calibri" w:hAnsi="Times" w:cs="Times New Roman"/>
          <w:sz w:val="24"/>
          <w:szCs w:val="24"/>
          <w:vertAlign w:val="superscript"/>
        </w:rPr>
        <w:footnoteReference w:id="87"/>
      </w:r>
    </w:p>
    <w:p w14:paraId="2D59E5B7"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 yaklaşımda belirli göstergelerle belirli gösterilenlerin olmasının toplumsal sebeplere ve motivasyonlara bağlı olması gerekmektedir. Bu herhangi bir kelimenin kullanımında görülebileceği gibi farklı dilsel yapıların kuruluşuyla da </w:t>
      </w:r>
      <w:r w:rsidRPr="00E97E0B">
        <w:rPr>
          <w:rFonts w:ascii="Times" w:eastAsia="Calibri" w:hAnsi="Times" w:cs="Times New Roman"/>
          <w:sz w:val="24"/>
          <w:szCs w:val="24"/>
        </w:rPr>
        <w:lastRenderedPageBreak/>
        <w:t>kendini gösterebilir. Metin analizleri dört ana başlıkta şeklini alır, bunlar kelime dağarcığı, dilbilgisi, bağlaşıklık ve metin yapısıdır.</w:t>
      </w:r>
      <w:r w:rsidRPr="00E97E0B">
        <w:rPr>
          <w:rFonts w:ascii="Times" w:eastAsia="Calibri" w:hAnsi="Times" w:cs="Times New Roman"/>
          <w:sz w:val="24"/>
          <w:szCs w:val="24"/>
          <w:vertAlign w:val="superscript"/>
        </w:rPr>
        <w:footnoteReference w:id="88"/>
      </w:r>
    </w:p>
    <w:p w14:paraId="6CCE779E"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ESA, ayrıca analizin ötesine geçerek sosyal yaşamdaki dil ile diğer unsurlar arasındaki çoğunlukla muğlak olan bağı kurması bakımından önemlidir. Bu ESA’nın eleştirel olmasından ileri gelir. Ayrıca dilin sosyal yaşamdaki güç ve tahakküm ilişkilerinde ortaya çıkmasını, dilin ideolojik işlevini ve hatta kişisel ve toplumsal kimliklerin müzakerelerini içerir. Öte yandan eleştirelliğine süregelen toplumsal değişimlerle yakından ilgilenmesi ve Habermas’taki anlamıyla bilgi istemi/çıkarı da katkıda bulunmaktadır. Bu noktada neo-liberal dünya düzeninin içinde dilin kullanım biçimlerini keşfederek dilsel olarak ona bir direnç olarak geliştirilebilecek stratejileri önerme potansiyeli bakımından bir eleştiri olarak ortaya çıktığı söylenebilir.</w:t>
      </w:r>
      <w:r w:rsidRPr="00E97E0B">
        <w:rPr>
          <w:rFonts w:ascii="Times" w:eastAsia="Calibri" w:hAnsi="Times" w:cs="Times New Roman"/>
          <w:sz w:val="24"/>
          <w:szCs w:val="24"/>
          <w:vertAlign w:val="superscript"/>
        </w:rPr>
        <w:footnoteReference w:id="89"/>
      </w:r>
      <w:r w:rsidRPr="00E97E0B">
        <w:rPr>
          <w:rFonts w:ascii="Times" w:eastAsia="Calibri" w:hAnsi="Times" w:cs="Times New Roman"/>
          <w:sz w:val="24"/>
          <w:szCs w:val="24"/>
        </w:rPr>
        <w:t xml:space="preserve"> Habermas’ın özgürleştirici bilgi istemi/çıkarı onun bilginin insan ve toplum yaşamı ve eylemlerine temel oluşturduğu fikrini içeren sosyal teorisine dayanır. Buna göre insanlar ancak bildikleri şeyler ve bildikleri şeyleri nasıl bildikleri üzerinden hareket ederler. Ancak bilgi insanları deterministik bir şekilde zorunlu bir yola yönlendirmez, zira böyle olsaydı insanın ve toplumun davranışlarının kaçınılmaz olarak bir yapı yahut sistem tarafından belirlendiğini kabul etmek gerekirdi. Bu nedenle ona göre bilgi istemi/çıkarı “sayesinde gerçekliği kavradığımız belirli bakış açılarına” dayanmaktadır ve onu “nesnel” hale getiren yaşantıdır. Bilgi istemi de “sistematik sorgulamayı yönlendiren bilişsel stratejileri” belirler.</w:t>
      </w:r>
      <w:r w:rsidRPr="00E97E0B">
        <w:rPr>
          <w:rFonts w:ascii="Times" w:eastAsia="Calibri" w:hAnsi="Times" w:cs="Times New Roman"/>
          <w:sz w:val="24"/>
          <w:szCs w:val="24"/>
          <w:vertAlign w:val="superscript"/>
        </w:rPr>
        <w:footnoteReference w:id="90"/>
      </w:r>
      <w:r w:rsidRPr="00E97E0B">
        <w:rPr>
          <w:rFonts w:ascii="Times" w:eastAsia="Calibri" w:hAnsi="Times" w:cs="Times New Roman"/>
          <w:sz w:val="24"/>
          <w:szCs w:val="24"/>
        </w:rPr>
        <w:t xml:space="preserve"> Bilgi istemini teknik, pratik ve özgürleştirici olarak üç başlık altında katogorize eden Habermas, özgürleştirici bilgi isteminin sosyal eyleminin söylemsel eylem olduğunu belirtir.</w:t>
      </w:r>
      <w:r w:rsidRPr="00E97E0B">
        <w:rPr>
          <w:rFonts w:ascii="Times" w:eastAsia="Calibri" w:hAnsi="Times" w:cs="Times New Roman"/>
          <w:sz w:val="24"/>
          <w:szCs w:val="24"/>
          <w:vertAlign w:val="superscript"/>
        </w:rPr>
        <w:footnoteReference w:id="91"/>
      </w:r>
      <w:r w:rsidRPr="00E97E0B">
        <w:rPr>
          <w:rFonts w:ascii="Times" w:eastAsia="Calibri" w:hAnsi="Times" w:cs="Times New Roman"/>
          <w:sz w:val="24"/>
          <w:szCs w:val="24"/>
        </w:rPr>
        <w:t xml:space="preserve"> </w:t>
      </w:r>
    </w:p>
    <w:p w14:paraId="47CFD5F2"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Diğer taraftan Fairclough modern toplumda dilin öneminin arttığına ve kurumsal ve örgütsel anlamda toplumsal yaşamı şekillendirme bakımından daha fazla kullanıldığını savunur. Bunun bir bilgiyi fikri kabul edilebilir bir otorite üzerinden yaygınlaştırmak için söylemin bir temel oluşturduğunu söylemektedir. ESA araştırmacıları değer-yansız bir bilginin olmadığını savunurlar. Foucault’nun </w:t>
      </w:r>
      <w:r w:rsidRPr="00E97E0B">
        <w:rPr>
          <w:rFonts w:ascii="Times" w:eastAsia="Calibri" w:hAnsi="Times" w:cs="Times New Roman"/>
          <w:sz w:val="24"/>
          <w:szCs w:val="24"/>
        </w:rPr>
        <w:lastRenderedPageBreak/>
        <w:t xml:space="preserve">da bahsini etmiş olduğu </w:t>
      </w:r>
      <w:r w:rsidRPr="00E97E0B">
        <w:rPr>
          <w:rFonts w:ascii="Times" w:eastAsia="Calibri" w:hAnsi="Times" w:cs="Times New Roman"/>
          <w:i/>
          <w:sz w:val="24"/>
          <w:szCs w:val="24"/>
        </w:rPr>
        <w:t>söylemin teknolojileşmesi</w:t>
      </w:r>
      <w:r w:rsidRPr="00E97E0B">
        <w:rPr>
          <w:rFonts w:ascii="Times" w:eastAsia="Calibri" w:hAnsi="Times" w:cs="Times New Roman"/>
          <w:sz w:val="24"/>
          <w:szCs w:val="24"/>
        </w:rPr>
        <w:t xml:space="preserve"> dil üzerine yapılan araştırmanın sistematik bir şekilde kurumsal entegrasyonunu ve bu dil uygulamalarının sürekli düzenlenmesini ve sistemdeki aktörlerin buna göre şekillenmesini sağlar.</w:t>
      </w:r>
      <w:r w:rsidRPr="00E97E0B">
        <w:rPr>
          <w:rFonts w:ascii="Times" w:eastAsia="Calibri" w:hAnsi="Times" w:cs="Times New Roman"/>
          <w:sz w:val="24"/>
          <w:szCs w:val="24"/>
          <w:vertAlign w:val="superscript"/>
        </w:rPr>
        <w:footnoteReference w:id="92"/>
      </w:r>
      <w:r w:rsidRPr="00E97E0B">
        <w:rPr>
          <w:rFonts w:ascii="Times" w:eastAsia="Calibri" w:hAnsi="Times" w:cs="Times New Roman"/>
          <w:sz w:val="24"/>
          <w:szCs w:val="24"/>
        </w:rPr>
        <w:t xml:space="preserve"> Söylem düzenine dair Foucault’nun ortaya koyduğu şekliyle doktrinleri benimsemiş gruplarla, söz ritüellerini, söylem topluluklarını ve toplumsal olarak benimsenin söylemleri birbirine birbirlerine benzer görünümdedirler. Aralarındaki farkın doktrinel aidiyetin hem sözcelemeyi hem de konuşan özneyi hedef almasından ve birini diğerinin üzerinden hedef almasından kaynaklandığını vurguluyor. Tabii aynı şekilde sözcelenen söylemi de söyleyenin kimliği üzerinden hedef almak da doktrinlerin doğasının bir parçası olarak anlatılıyor. Buna doktrinin özneyi iki yönlü olarak </w:t>
      </w:r>
      <w:r w:rsidRPr="00E97E0B">
        <w:rPr>
          <w:rFonts w:ascii="Times" w:eastAsia="Calibri" w:hAnsi="Times" w:cs="Times New Roman"/>
          <w:i/>
          <w:sz w:val="24"/>
          <w:szCs w:val="24"/>
        </w:rPr>
        <w:t>köleleştirmesi</w:t>
      </w:r>
      <w:r w:rsidRPr="00E97E0B">
        <w:rPr>
          <w:rFonts w:ascii="Times" w:eastAsia="Calibri" w:hAnsi="Times" w:cs="Times New Roman"/>
          <w:sz w:val="24"/>
          <w:szCs w:val="24"/>
        </w:rPr>
        <w:t xml:space="preserve"> adını veriyor. Doktrinlerin var ettiği bir kavrayış aslında görünüşte Foucault’nun bahsini ettiği </w:t>
      </w:r>
      <w:r w:rsidRPr="00E97E0B">
        <w:rPr>
          <w:rFonts w:ascii="Times" w:eastAsia="Calibri" w:hAnsi="Times" w:cs="Times New Roman"/>
          <w:i/>
          <w:sz w:val="24"/>
          <w:szCs w:val="24"/>
        </w:rPr>
        <w:t>söylem toplumu</w:t>
      </w:r>
      <w:r w:rsidRPr="00E97E0B">
        <w:rPr>
          <w:rFonts w:ascii="Times" w:eastAsia="Calibri" w:hAnsi="Times" w:cs="Times New Roman"/>
          <w:sz w:val="24"/>
          <w:szCs w:val="24"/>
        </w:rPr>
        <w:t>nun benzerini oluşturuyor.</w:t>
      </w:r>
      <w:r w:rsidRPr="00E97E0B">
        <w:rPr>
          <w:rFonts w:ascii="Times" w:eastAsia="Calibri" w:hAnsi="Times" w:cs="Times New Roman"/>
          <w:sz w:val="24"/>
          <w:szCs w:val="24"/>
          <w:vertAlign w:val="superscript"/>
        </w:rPr>
        <w:footnoteReference w:id="93"/>
      </w:r>
      <w:r w:rsidRPr="00E97E0B">
        <w:rPr>
          <w:rFonts w:ascii="Times" w:eastAsia="Calibri" w:hAnsi="Times" w:cs="Times New Roman"/>
          <w:sz w:val="24"/>
          <w:szCs w:val="24"/>
        </w:rPr>
        <w:t xml:space="preserve"> Buradan anladığım kadarıyla söz ritüelleriyle belirli bir yapıya oturtulmuş söylemler sözleri sözceleyenlerin oluşturduğu söylem toplumları tarafından yaygınlaştırılıyor ve kontrol ediliyor.  </w:t>
      </w:r>
    </w:p>
    <w:p w14:paraId="0B4F6DF9"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ESA’nın temelini oluşturan kavramlardan biri semiyosistir. Semiyosisin toplumsal uygulamalarda anlamın sözel olsun sözel olmayan olsun tüm vasıtalarla anlamın inşasını anlatır. Sosyal uygulamalar üretilen sosyal hareketleri anlatan bir terimdir. Tüm sosyal uygulamalar bu kapsamda birbiriyle bağlantı halinde geniş bir anlam ağı içinde bulunmaktadır. Üstelik kendi aralarında diyalektik bir ilişki içinde olan; üretken faaliyet, üretim araçları, toplumsal ilişkiler, toplumsal kimlikler, kültürel değerler, bilinç ve semiyosisi de içinde barındırır. ESA da semiyotikle toplumsal uygulamaların diğer unsurları arasındaki diyalektik ilişkiyi inceler. Semiyosis de analizi ise dinamik bir süreçtir, zamanla farklı vurgular kazanabilir, değişikliğe uğrayabilir. Semiyosis toplumsal uygulamada iki şekilde görünür, ilki dilin kendisinin kullanımına dayanır, ikincisi ise refleksif olarak dilde öznenin kendi temsilini ve başkalarının icra ettiği uygulamaların temsilini bir bağlama oturtarak temsil etmesidir.</w:t>
      </w:r>
      <w:r w:rsidRPr="00E97E0B">
        <w:rPr>
          <w:rFonts w:ascii="Times" w:eastAsia="Calibri" w:hAnsi="Times" w:cs="Times New Roman"/>
          <w:sz w:val="24"/>
          <w:szCs w:val="24"/>
          <w:vertAlign w:val="superscript"/>
        </w:rPr>
        <w:footnoteReference w:id="94"/>
      </w:r>
      <w:r w:rsidRPr="00E97E0B">
        <w:rPr>
          <w:rFonts w:ascii="Times" w:eastAsia="Calibri" w:hAnsi="Times" w:cs="Times New Roman"/>
          <w:sz w:val="24"/>
          <w:szCs w:val="24"/>
        </w:rPr>
        <w:t xml:space="preserve"> </w:t>
      </w:r>
    </w:p>
    <w:p w14:paraId="013AA0C2"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Diğer taraftan toplumsal eyleme biçimlerini üretme türlerinden biri olan tavırlar da semiyosis tarafından farklı söylemlerin görünümünde oluşturulur. Verili bir olay veya olguyu farklı aktörler farklı bakış açılarıyla “görür” ve söyleme çevirirler. Bununla birlikte farklı söylemler üzerinde toplumsal yaşam içinde farklı toplumsal uygulamaların içinden söylemler sosyal aktörlerin farklı konum alışlarını yansıtır. Bahsi geçen sosyal uygulamalar da bir ağ halinde bir arada toplumsal bir düzeni teşkil eder. Bu bakımdan sosyal düzenin semiyotik yüzüne ve semiyotik farkların sosyal yapılanmasına </w:t>
      </w:r>
      <w:r w:rsidRPr="00E97E0B">
        <w:rPr>
          <w:rFonts w:ascii="Times" w:eastAsia="Calibri" w:hAnsi="Times" w:cs="Times New Roman"/>
          <w:i/>
          <w:sz w:val="24"/>
          <w:szCs w:val="24"/>
        </w:rPr>
        <w:t>söylem düzeni</w:t>
      </w:r>
      <w:r w:rsidRPr="00E97E0B">
        <w:rPr>
          <w:rFonts w:ascii="Times" w:eastAsia="Calibri" w:hAnsi="Times" w:cs="Times New Roman"/>
          <w:sz w:val="24"/>
          <w:szCs w:val="24"/>
        </w:rPr>
        <w:t xml:space="preserve"> denilebilir. Belirli bir söylem düzeninde yine kendine has anlam kurma kanalları mevcut olup, bu kanalların bazıları daha uygun bazıları zıt veya uç kalabileceği gibi bazıları da alternatif kanal olarak yer alır.</w:t>
      </w:r>
      <w:r w:rsidRPr="00E97E0B">
        <w:rPr>
          <w:rFonts w:ascii="Times" w:eastAsia="Calibri" w:hAnsi="Times" w:cs="Times New Roman"/>
          <w:sz w:val="24"/>
          <w:szCs w:val="24"/>
          <w:vertAlign w:val="superscript"/>
        </w:rPr>
        <w:footnoteReference w:id="95"/>
      </w:r>
      <w:r w:rsidRPr="00E97E0B">
        <w:rPr>
          <w:rFonts w:ascii="Times" w:eastAsia="Calibri" w:hAnsi="Times" w:cs="Times New Roman"/>
          <w:sz w:val="24"/>
          <w:szCs w:val="24"/>
        </w:rPr>
        <w:t xml:space="preserve">  </w:t>
      </w:r>
    </w:p>
    <w:p w14:paraId="4135E7E7"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Burada Fairclough’un sunduğu eleştirel analiz çerçevelerinden bir tanesine yer vereceğim. Aşamalarına sırayla yer verecek olursak: 1) Semiyotik bir tarafı olan toplumsal bir sorunun üzerine eğilmek ve analizin bir soruna dair yol gösterici bir faydasını aramak. 2) Bünyesindeki uygulamalar ağını, uygulamalar üzerinden semiyotiğin diğer unsurlarla ilişkisini ve yapısal etkileşimsel söylemlerarası ve linguistik ve semiyotik analiz vasıtalarıyla söylemleri analiz ederek inceleme konusu olan sosyal meselede engel olanları saptamak. 3) Toplumsal düzenin bu sorunu tanımlamaktan nasıl faydalanacağını incelemek ve kimlerin halihazırdaki söylem düzeninden faydalandığını ortaya çıkarmak. 4) Soruna olumsuz katkıda bulunan unsurların geçmişteki olası kanallarını saptamaya odaklanmak. Bu şekilde varsa o ana kadar gözden kaçan değiştirilebilecek unsurların saptanmasını amaçlamak. 5) Analizi yapan araştırmacının toplumsal konumlanışına ve vardığı noktaya nasıl geldiğine eğilir. Yine Fairclough’un verdiği bir örnekleri göz önünde bulundurarak öncelikle tüm metnin organizasyonu, cümle birleşimleri, gramatik ve anlamsal özellikler, ardından sözcükler, metnin oluşturulma şekli (ilişkilendirme, temsil etme, tanımlama ve değer biçme) gibi aşamalar altında incelebilir.</w:t>
      </w:r>
      <w:r w:rsidRPr="00E97E0B">
        <w:rPr>
          <w:rFonts w:ascii="Times" w:eastAsia="Calibri" w:hAnsi="Times" w:cs="Times New Roman"/>
          <w:sz w:val="24"/>
          <w:szCs w:val="24"/>
          <w:vertAlign w:val="superscript"/>
        </w:rPr>
        <w:footnoteReference w:id="96"/>
      </w:r>
      <w:r w:rsidRPr="00E97E0B">
        <w:rPr>
          <w:rFonts w:ascii="Times" w:eastAsia="Calibri" w:hAnsi="Times" w:cs="Times New Roman"/>
          <w:sz w:val="24"/>
          <w:szCs w:val="24"/>
        </w:rPr>
        <w:t xml:space="preserve"> Ancak araştırma temel olarak üç aşama ile kategorize edilecek olursa sırayla söylemsel uygulamanın, metnin ve sosyal uygulamanın incelenmesi olarak üç ayrı bölümde düşünülür. Söylemsel pratik metnin nasıl üretildiğine ve nasıl kullanıldığına ilişkin </w:t>
      </w:r>
      <w:r w:rsidRPr="00E97E0B">
        <w:rPr>
          <w:rFonts w:ascii="Times" w:eastAsia="Calibri" w:hAnsi="Times" w:cs="Times New Roman"/>
          <w:sz w:val="24"/>
          <w:szCs w:val="24"/>
        </w:rPr>
        <w:lastRenderedPageBreak/>
        <w:t xml:space="preserve">kavramdır. Metnin nasıl üretildiğinden bahsettiğimizde hangi metinlerden etkilenerek bu duruma geldiğiyle de ilgilenilir. Bu şekilde </w:t>
      </w:r>
      <w:r w:rsidRPr="00E97E0B">
        <w:rPr>
          <w:rFonts w:ascii="Times" w:eastAsia="Calibri" w:hAnsi="Times" w:cs="Times New Roman"/>
          <w:i/>
          <w:sz w:val="24"/>
          <w:szCs w:val="24"/>
        </w:rPr>
        <w:t xml:space="preserve">metinlerarası zincir </w:t>
      </w:r>
      <w:r w:rsidRPr="00E97E0B">
        <w:rPr>
          <w:rFonts w:ascii="Times" w:eastAsia="Calibri" w:hAnsi="Times" w:cs="Times New Roman"/>
          <w:sz w:val="24"/>
          <w:szCs w:val="24"/>
        </w:rPr>
        <w:t>incelenir ve bu inceleme esnasında metnin yapısı ve içeriğinde nasıl bir değim gerçekleştiği tespit edilmeye çalışılır. Ancak az sayıda araştırmacı metinlerin sosyolojik üretimlerini incelemeye kalkışır.</w:t>
      </w:r>
      <w:r w:rsidRPr="00E97E0B">
        <w:rPr>
          <w:rFonts w:ascii="Times" w:eastAsia="Calibri" w:hAnsi="Times" w:cs="Times New Roman"/>
          <w:sz w:val="24"/>
          <w:szCs w:val="24"/>
          <w:vertAlign w:val="superscript"/>
        </w:rPr>
        <w:footnoteReference w:id="97"/>
      </w:r>
      <w:r w:rsidRPr="00E97E0B">
        <w:rPr>
          <w:rFonts w:ascii="Times" w:eastAsia="Calibri" w:hAnsi="Times" w:cs="Times New Roman"/>
          <w:sz w:val="24"/>
          <w:szCs w:val="24"/>
        </w:rPr>
        <w:t xml:space="preserve"> Metnin incelenmesine gelecek olursak, bu safha genel olarak belirli araçların kullanılmasıyla oluşturulan metnin linguistik açıdan ayrıntılı analizi olarak tanımlanabilir. Fairclough bu analiz için etkileşimsel denetim, </w:t>
      </w:r>
      <w:r w:rsidRPr="00E97E0B">
        <w:rPr>
          <w:rFonts w:ascii="Times" w:eastAsia="Calibri" w:hAnsi="Times" w:cs="Times New Roman"/>
          <w:i/>
          <w:sz w:val="24"/>
          <w:szCs w:val="24"/>
        </w:rPr>
        <w:t>ethos</w:t>
      </w:r>
      <w:r w:rsidRPr="00E97E0B">
        <w:rPr>
          <w:rFonts w:ascii="Times" w:eastAsia="Calibri" w:hAnsi="Times" w:cs="Times New Roman"/>
          <w:sz w:val="24"/>
          <w:szCs w:val="24"/>
        </w:rPr>
        <w:t xml:space="preserve"> yani kimliklerin dille ve bedenle kurgulanması, metaforlar, ifade ve gramer gibi kategoriler önerir. Bütün bunlar, metinlerin olayları ve toplumsal ilişkileri nasıl ele aldığı ve böylece gerçekliğin, toplumsal kimliklerin ve toplumsal ilişkilerin belirli versiyonlarını nasıl inşa ettiği hakkında fikir verir.</w:t>
      </w:r>
      <w:r w:rsidRPr="00E97E0B">
        <w:rPr>
          <w:rFonts w:ascii="Times" w:eastAsia="Calibri" w:hAnsi="Times" w:cs="Times New Roman"/>
          <w:sz w:val="24"/>
          <w:szCs w:val="24"/>
          <w:vertAlign w:val="superscript"/>
        </w:rPr>
        <w:footnoteReference w:id="98"/>
      </w:r>
      <w:r w:rsidRPr="00E97E0B">
        <w:rPr>
          <w:rFonts w:ascii="Times" w:eastAsia="Calibri" w:hAnsi="Times" w:cs="Times New Roman"/>
          <w:sz w:val="24"/>
          <w:szCs w:val="24"/>
        </w:rPr>
        <w:t xml:space="preserve"> Sosyal pratikler metin ve söylemsel pratiğin bir bağlam kazanmasını gerektirir. Bağlam kazandırmak ise ilkin söylemsel pratik ile onun söylem düzeni arasındaki ilişkisinin anlaşılması üzerinde durmayı ikinci olarak da Fairclough’un adlandırmasıyla söylemin sosyal matriksini yani daha geniş bir söylemsel pratik bağlamını oluşturan kısmen söylemsel olmayan, sosyal ve kültürel ilişki ve yapıları görünür kılmayı içerir. Söylemsel pratiğin ait olduğu ağı nasıl özelliklere sahip olduğu ve söylemsel pratik ne tür kurumsal ve ekonomik koşullara tabi olduğu gibi sorulara Fairclough söylem analizinin yeterince yanıt veremeyeceğini söyler. Bu nedenle sosyal veya kültürel kuramlardan yararlanmak gerekliliğini savunur.</w:t>
      </w:r>
      <w:r w:rsidRPr="00E97E0B">
        <w:rPr>
          <w:rFonts w:ascii="Times" w:eastAsia="Calibri" w:hAnsi="Times" w:cs="Times New Roman"/>
          <w:sz w:val="24"/>
          <w:szCs w:val="24"/>
          <w:vertAlign w:val="superscript"/>
        </w:rPr>
        <w:footnoteReference w:id="99"/>
      </w:r>
    </w:p>
    <w:p w14:paraId="4C0E4FF3"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ESA’nın bir diğer başlıca teorisyenlerinden Van Dijk medya ve haber söylemi üzerinde yoğunlaşmıştır, çalışmalarını Eleştirel Söylem Çalışmaları olarak adlandırmayı tercih eden Van Dijk sosyo-bilişsel bir yaklaşıma sahiptir. Söylem, biliş ve toplum yaklaşımının en temel odak noktalarıdır. Van Dijk’ın bilişe yaptığı vurgu söylem ve toplum arasında kurulan ilişki bağlamında bilişi arayüz olarak görmesindendir.</w:t>
      </w:r>
      <w:r w:rsidRPr="00E97E0B">
        <w:rPr>
          <w:rFonts w:ascii="Times" w:eastAsia="Calibri" w:hAnsi="Times" w:cs="Times New Roman"/>
          <w:sz w:val="24"/>
          <w:szCs w:val="24"/>
          <w:vertAlign w:val="superscript"/>
        </w:rPr>
        <w:footnoteReference w:id="100"/>
      </w:r>
      <w:r w:rsidRPr="00E97E0B">
        <w:rPr>
          <w:rFonts w:ascii="Times" w:eastAsia="Calibri" w:hAnsi="Times" w:cs="Times New Roman"/>
          <w:sz w:val="24"/>
          <w:szCs w:val="24"/>
        </w:rPr>
        <w:t xml:space="preserve"> İnsan davranışlarının yönlendirilmesi ve kontrol edilmesini sağlamakta kilit rol oynayan bilişe yönelik kurulan egemenliğin devamlılığı da metinler ve konuşmalar sayesinde pekişmektedir. Bu bir grubun başka bir grubu </w:t>
      </w:r>
      <w:r w:rsidRPr="00E97E0B">
        <w:rPr>
          <w:rFonts w:ascii="Times" w:eastAsia="Calibri" w:hAnsi="Times" w:cs="Times New Roman"/>
          <w:sz w:val="24"/>
          <w:szCs w:val="24"/>
        </w:rPr>
        <w:lastRenderedPageBreak/>
        <w:t>kendi lehine manipüle etmesi; çıkarını koruyacak eylemlere yönlendirmesi aleyhine olacak bilgileri önemsizleştirmesi ve gizlemesi için kısaca güç ilişkilerini lehine çevirmek ve tahakküm kurmak için de bir araçtır.</w:t>
      </w:r>
      <w:r w:rsidRPr="00E97E0B">
        <w:rPr>
          <w:rFonts w:ascii="Times" w:eastAsia="Calibri" w:hAnsi="Times" w:cs="Times New Roman"/>
          <w:sz w:val="24"/>
          <w:szCs w:val="24"/>
          <w:vertAlign w:val="superscript"/>
        </w:rPr>
        <w:footnoteReference w:id="101"/>
      </w:r>
      <w:r w:rsidRPr="00E97E0B">
        <w:rPr>
          <w:rFonts w:ascii="Times" w:eastAsia="Calibri" w:hAnsi="Times" w:cs="Times New Roman"/>
          <w:sz w:val="24"/>
          <w:szCs w:val="24"/>
        </w:rPr>
        <w:t xml:space="preserve"> Foucault’nun postmodern olarak nitelenebilecek veçhesinde görebileceğimizin aksine, Van Dijk gücü üretken bir olgu olarak tanımlamaz, aksine onu baskıcı olarak niteler. Foucault’da gücün bu baskıcı tarafı kabul edilmekle birlikte aynı zamanda ilişkileri yeniden üreten bir özelliğe sahiptir. Güç bazı çıkar grupları tarafından pasif özneler üzerinde uygulanan bir şeydir. Fairclough’ta ise bu durum “müzakere” edilme ile anlaşılır. Bu aynı zamanda Foucaultcu anlamda gücün heryerdeliğine koşut olarak gücün olduğu her yerde direncin olacağı fikriyle örtüşür. Van Dijk’ın güç yorumunda ise bunun tam tersi söz konusudur; o direnç ihtimalini genelde kabul etmemeye meyleder. Ona göre modern demokratik toplumda (ki postmodern toplum diye modern toplumu takip eden bir kategori öne sürecek olursak bile aynı yorum onun için de geçerli olacaktır) iktidar şiddet kullanmak ve zorlayıcı ya da doğrudan teşvik edici olmaktan çok ikna ve manipüle edici bir niteliktedir. Sürekli cezaya başvuran, emirler yağdıran, ekonomik olarak yaptırımlar yapan ve açıkça tehdit eden bir iktidar modern demokratik toplumlarda pek rastlanmadığından iktidarın bunun yerine “rıza yaratma” amacıyla hareket ettiğini söyler.</w:t>
      </w:r>
      <w:r w:rsidRPr="00E97E0B">
        <w:rPr>
          <w:rFonts w:ascii="Times" w:eastAsia="Calibri" w:hAnsi="Times" w:cs="Times New Roman"/>
          <w:sz w:val="24"/>
          <w:szCs w:val="24"/>
          <w:vertAlign w:val="superscript"/>
        </w:rPr>
        <w:footnoteReference w:id="102"/>
      </w:r>
      <w:r w:rsidRPr="00E97E0B">
        <w:rPr>
          <w:rFonts w:ascii="Times" w:eastAsia="Calibri" w:hAnsi="Times" w:cs="Times New Roman"/>
          <w:sz w:val="24"/>
          <w:szCs w:val="24"/>
        </w:rPr>
        <w:t xml:space="preserve"> Bu açıdan daha deterministik bir yaklamını benimsediği gibi iktidarı da bir yeniden üretim aracı olmaktan ziyade, bir grubun başka bir grup üzerinden denetiminin sürdürülmesi olarak gördüğünden iktidarı sınıf çatışması bağlamında okumaya daha yakındır. Dahası sosyal gruplar arasında eşitliği bozmaya yönelik bir hareket olduğundan diğer grupları kontrol etmeye yarayan tahakkümü, sosyal bir güç istismarı olarak görür. Belirli grupların veya kurumların arasında örneğin medya gibi belirli alanlarda gücün “dağıtılması” ya da çeşitli çerçeve veya sahalarda güç merkezlerinin oluşmasına ve çeşitli elitlerin bu merkezleri kontrol etme imkanına kavuşması olarak niteler. Bu şekilde güç elde ederek, sosyal kaynaklara ve kamuya </w:t>
      </w:r>
      <w:r w:rsidRPr="00E97E0B">
        <w:rPr>
          <w:rFonts w:ascii="Times" w:eastAsia="Calibri" w:hAnsi="Times" w:cs="Times New Roman"/>
          <w:sz w:val="24"/>
          <w:szCs w:val="24"/>
        </w:rPr>
        <w:lastRenderedPageBreak/>
        <w:t>seslenebilen iletişim kaynaklarına ve dolayısıyla da söyleme erişim elde edilir. Söylemi yönlendirenler de kendi lehlerine rıza üretimine yol açarlar.</w:t>
      </w:r>
      <w:r w:rsidRPr="00E97E0B">
        <w:rPr>
          <w:rFonts w:ascii="Times" w:eastAsia="Calibri" w:hAnsi="Times" w:cs="Times New Roman"/>
          <w:sz w:val="24"/>
          <w:szCs w:val="24"/>
          <w:vertAlign w:val="superscript"/>
        </w:rPr>
        <w:footnoteReference w:id="103"/>
      </w:r>
      <w:r w:rsidRPr="00E97E0B">
        <w:rPr>
          <w:rFonts w:ascii="Times" w:eastAsia="Calibri" w:hAnsi="Times" w:cs="Times New Roman"/>
          <w:sz w:val="24"/>
          <w:szCs w:val="24"/>
        </w:rPr>
        <w:t xml:space="preserve"> </w:t>
      </w:r>
    </w:p>
    <w:p w14:paraId="5C1E0A12"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Van Dijk durum modeli ve bağlam modelinden bahseder. Durum modelleri durumu açıklayan semantik modelleri içerir.</w:t>
      </w:r>
      <w:r w:rsidRPr="00E97E0B">
        <w:rPr>
          <w:rFonts w:ascii="Times" w:eastAsia="Calibri" w:hAnsi="Times" w:cs="Times New Roman"/>
          <w:sz w:val="24"/>
          <w:szCs w:val="24"/>
          <w:vertAlign w:val="superscript"/>
        </w:rPr>
        <w:footnoteReference w:id="104"/>
      </w:r>
      <w:r w:rsidRPr="00E97E0B">
        <w:rPr>
          <w:rFonts w:ascii="Times" w:eastAsia="Calibri" w:hAnsi="Times" w:cs="Times New Roman"/>
          <w:sz w:val="24"/>
          <w:szCs w:val="24"/>
        </w:rPr>
        <w:t xml:space="preserve"> Bağlam modeli adını verdiği ise bireyin ve toplumun zihinsel temsillerinden ve algılarından mürekkep öznel ve etkileşimin neticisinde sürekli olarak değişime açık olan bir yapıdan bahseder. Bunlar söylem ile toplumsal yapı arasında bağlantıyı sağlayan arayüzler olarak anlatılır. Bu bağlam modelinin sözel olan ve olmayan, örneğin görsel veya üsluba dair pek çok düzeyi ve boyutu olduğundan asla tam bir analizin yapılabileceği düşünülmemeli onun yerine, mesele olabildiğince kapsamlı ve söylemin içinde geçtiği sosyal sorunla en fazla ilişkili olarak anlaşılabilecek bir biçimde ele alınmalıdır.</w:t>
      </w:r>
      <w:r w:rsidRPr="00E97E0B">
        <w:rPr>
          <w:rFonts w:ascii="Times" w:eastAsia="Calibri" w:hAnsi="Times" w:cs="Times New Roman"/>
          <w:sz w:val="24"/>
          <w:szCs w:val="24"/>
          <w:vertAlign w:val="superscript"/>
        </w:rPr>
        <w:footnoteReference w:id="105"/>
      </w:r>
    </w:p>
    <w:p w14:paraId="07754ADB"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Mikro, meso ve makro düzeylerde metin incelemesini içeren Van Dijk’ın yaklaşımında ayrıca şu beş önemli hususun gözetilmesi gerekliliğinin altı çizilmektedir: 1) Söylemin bağlamının incelemenmesi gerekliliği 2) Hangi grupların iktidar ilişkilerinin ve ihtilaflarının bulunduğunun çözümlenmesi gerekliliği  3) “Biz” ve “onlar” hakkındaki olumlu olumsuz görüşleri ifşa edilmesi gerekliliği 4) Önvarsayılanları, gerektirimleri ve ima edilenleri açığa çıkarmak gerekliliği ki bunlar aslında metnin içine işlenmiş baştan doğru kabul edilen ve bu kabulleri tartışmaya açmayarak ikna ihtimalini artıran tuzaklar olarak görülebilir. 5) Kutuplaştırılmış grup fikir algı ve kanaatlerini vurgulayan tüm biçimsel yapıyı inceleme gerekliliği.</w:t>
      </w:r>
      <w:r w:rsidRPr="00E97E0B">
        <w:rPr>
          <w:rFonts w:ascii="Times" w:eastAsia="Calibri" w:hAnsi="Times" w:cs="Times New Roman"/>
          <w:sz w:val="24"/>
          <w:szCs w:val="24"/>
          <w:vertAlign w:val="superscript"/>
        </w:rPr>
        <w:footnoteReference w:id="106"/>
      </w:r>
      <w:r w:rsidRPr="00E97E0B">
        <w:rPr>
          <w:rFonts w:ascii="Times" w:eastAsia="Calibri" w:hAnsi="Times" w:cs="Times New Roman"/>
          <w:sz w:val="24"/>
          <w:szCs w:val="24"/>
        </w:rPr>
        <w:t xml:space="preserve"> </w:t>
      </w:r>
    </w:p>
    <w:p w14:paraId="39C55FC4" w14:textId="6A47A349"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Van Dijk’ın söylem yapılarını çözümlemesinin aşamalarına kısaca değinecek olursak</w:t>
      </w:r>
      <w:r w:rsidR="00D020A6" w:rsidRPr="00E97E0B">
        <w:rPr>
          <w:rFonts w:ascii="Times" w:eastAsia="Calibri" w:hAnsi="Times" w:cs="Times New Roman"/>
          <w:sz w:val="24"/>
          <w:szCs w:val="24"/>
        </w:rPr>
        <w:t>:</w:t>
      </w:r>
      <w:r w:rsidRPr="00E97E0B">
        <w:rPr>
          <w:rFonts w:ascii="Times" w:eastAsia="Calibri" w:hAnsi="Times" w:cs="Times New Roman"/>
          <w:sz w:val="24"/>
          <w:szCs w:val="24"/>
        </w:rPr>
        <w:t xml:space="preserve"> 1) Semantik makro yapıların analizinde incelenen metinlerin en belirgin önerme ve çıkarımları incelenir. Bu aşama en temel en çarpıcı ve en akılda kalıcı öğelerin toplandığı kısımdır. Metnin hedef kitlesinin ortama olarak zihninde kalacak olan özet niteliğindedir. Bu nedenle de stratejiktir, zira bir metnin kendi iç </w:t>
      </w:r>
      <w:r w:rsidRPr="00E97E0B">
        <w:rPr>
          <w:rFonts w:ascii="Times" w:eastAsia="Calibri" w:hAnsi="Times" w:cs="Times New Roman"/>
          <w:sz w:val="24"/>
          <w:szCs w:val="24"/>
        </w:rPr>
        <w:lastRenderedPageBreak/>
        <w:t>örgüsü her ne kadar etraflıca düşünülerek ya da çeşitli sosyal ve bilişsel süreçlerin damıtıldığı bir öz ve sentez de olsa metnin muhataplarında bırakacağı genel etki hatırlanacak ve kalıcı olacaktır. Ardından çok az sayıda insan verili metne dönüp incelikle analizine yoğunlaşacaktır. 2) Yerel anlamların analizi aşamasında ise kelimelerin anlamları ifadelerin tutarlılıkları ve diğer ifadelerle bir arada oluşturdukları örüntü ve ilişkiler incelenir. İmalar, varsayımlar, belirsizlikler, dikkate alınmayan ve gözardı edilen hususlar, kutuplaşmalar bunlardandır. Alıcıların zihinlerindeki temsillerin hedef alındığı söylemin bu yönüne eğilmek bu aşamada yapılması gereken iştir. Anlamlarda özellikle biz ve onlar ayrımının işlendiği noktaların açığa çıkarılması hedeflenir. 3) Göze çarpmayan formel yapıların analizi aşamasında ise araştırmacının yararlanabileceği bazı ipuçlarını yakalaması hedeflenir. Konuşmada geçen sözcük düzenleri, vurgular, sıra alışlar, kinayeler ve retorik gibi ipuçları taranır. 4) Genel ve Yerel söylem formlarının analizi aşamasında genel formlar olan metin türü ile yerel biçimler olan metnin tarzı arasındaki ayrıma yoğunlaşılır. Yerel formları cümle kuruluş ve yapıları, cümlecikler arası ilişkiler, etken veya edilgen konumları örnek verebiliriz. 5) Diğer taraftan “biz”i ve “onlar”ı niteleyecek olan durum, faaliyet ve hareketlerin kavranış biçimleri ortaya koyularak nerede ve nasıl olumsuz özellikler “biz”den savuşturulmaya çalışılmış; nerede ve nasıl “onlar”dan olumlu özellik veya fiiller uzaklaştırılmaya gayret edilmiş buna odaklanılır. 6) Yerel ve genel bağlamlar ayrı ayrı ele alınır. Genel bağlam olayın gerçekleştiği tarihsel, kültürel ve siyasi bağlamdır. Yerel bağlam se anlık etkileşimsel olayın bağlamı olarak anlaşılır.</w:t>
      </w:r>
      <w:r w:rsidRPr="00E97E0B">
        <w:rPr>
          <w:rFonts w:ascii="Times" w:eastAsia="Calibri" w:hAnsi="Times" w:cs="Times New Roman"/>
          <w:sz w:val="24"/>
          <w:szCs w:val="24"/>
          <w:vertAlign w:val="superscript"/>
        </w:rPr>
        <w:footnoteReference w:id="107"/>
      </w:r>
    </w:p>
    <w:p w14:paraId="63F7C27C"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Van Dijk’ın üzerinde durduğu önemli konulardan bir tanesi de “biz ve onlar” dikotomisidir. Söylemde hem kipliklerin kullanımı hem özne konumları hem de etken edilgen cümle kuruluşları gibi dilbilgisi konularında olumsuzluğun vurgusunun diğer olan onlara yüklemek sıklıkla başvurulan bir yöntem iken tersi durumda “bizleri” anlatan ifadelerde olumsuz anlam yükleme en aza indirilir ve aynı şekilde olumlu bir anlam yükleme söz konusuyken söylem üreticisinin tavrının sıklıkla tersi yönde geliştiği görülür. </w:t>
      </w:r>
      <w:r w:rsidRPr="00E97E0B">
        <w:rPr>
          <w:rFonts w:ascii="Times" w:eastAsia="Calibri" w:hAnsi="Times" w:cs="Times New Roman"/>
          <w:sz w:val="24"/>
          <w:szCs w:val="24"/>
          <w:vertAlign w:val="superscript"/>
        </w:rPr>
        <w:footnoteReference w:id="108"/>
      </w:r>
      <w:r w:rsidRPr="00E97E0B">
        <w:rPr>
          <w:rFonts w:ascii="Times" w:eastAsia="Calibri" w:hAnsi="Times" w:cs="Times New Roman"/>
          <w:sz w:val="24"/>
          <w:szCs w:val="24"/>
        </w:rPr>
        <w:t xml:space="preserve"> </w:t>
      </w:r>
    </w:p>
    <w:p w14:paraId="32ECF88C"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lastRenderedPageBreak/>
        <w:t>Reisigl ve Wodak’ın tarihsel yaklaşımları ise tarihsel olup aynı zamanda linguistik yönelimlidir. Wodak dilin başlıbaşına bir güç olmadığını güce sahip olanların dili kullanmaları sonucunda güçlerini uyguladıklarını savunur. Onda fail odaklı bir söylem anlayışı söz konusudur. Söylemle toplumsal ilişklerin arasında diyalektik bir etki etme gücü olduğunu da ekler. Tarihsel yaklaşımda söylemler, metinler ve tarzlar eylem alanıyla bağlantı halinde görülür. Tarz (genre) ifadesi burada dilin toplumsal anlamda kabul görmüş bir biçiminin belirli eylemlerle eşleştirilmesi ile ortaya çıkan kalıplar olarak anlaşılabilir. Eylem alanı ise söylemin sınırlarını oluşturan onu belli bir forma kavuşturan toplumsal gerçekliğe ait bir parçadır.</w:t>
      </w:r>
      <w:r w:rsidRPr="00E97E0B">
        <w:rPr>
          <w:rFonts w:ascii="Times" w:eastAsia="Calibri" w:hAnsi="Times" w:cs="Times New Roman"/>
          <w:sz w:val="24"/>
          <w:szCs w:val="24"/>
          <w:vertAlign w:val="superscript"/>
        </w:rPr>
        <w:footnoteReference w:id="109"/>
      </w:r>
      <w:r w:rsidRPr="00E97E0B">
        <w:rPr>
          <w:rFonts w:ascii="Times" w:eastAsia="Calibri" w:hAnsi="Times" w:cs="Times New Roman"/>
          <w:sz w:val="24"/>
          <w:szCs w:val="24"/>
        </w:rPr>
        <w:t xml:space="preserve"> Wodak’ın tarihsel yaklaşımında metin içi dilsel bütünlüğü ve bağlantılılık durumunu ifade eden bağdaşıklık linguistik olarak metnin analizinde merkezi bir rol oynar.</w:t>
      </w:r>
      <w:r w:rsidRPr="00E97E0B">
        <w:rPr>
          <w:rFonts w:ascii="Times" w:eastAsia="Calibri" w:hAnsi="Times" w:cs="Times New Roman"/>
          <w:sz w:val="24"/>
          <w:szCs w:val="24"/>
          <w:vertAlign w:val="superscript"/>
        </w:rPr>
        <w:footnoteReference w:id="110"/>
      </w:r>
      <w:r w:rsidRPr="00E97E0B">
        <w:rPr>
          <w:rFonts w:ascii="Times" w:eastAsia="Calibri" w:hAnsi="Times" w:cs="Times New Roman"/>
          <w:sz w:val="24"/>
          <w:szCs w:val="24"/>
        </w:rPr>
        <w:t xml:space="preserve"> Diğer taraftan bağlam son derece önemli olup metnin kendi içsel bağlamı, metinler ve söylemler arası ilişkiler anlamında bağlam, içinde bulunduğu durum açısından bağlamı ve söylemlerin bünyesinde barındığı sosyopolitik ve tarihsel bağlamı olarak dört kategoride değerlendirilir.</w:t>
      </w:r>
      <w:r w:rsidRPr="00E97E0B">
        <w:rPr>
          <w:rFonts w:ascii="Times" w:eastAsia="Calibri" w:hAnsi="Times" w:cs="Times New Roman"/>
          <w:sz w:val="24"/>
          <w:szCs w:val="24"/>
          <w:vertAlign w:val="superscript"/>
        </w:rPr>
        <w:footnoteReference w:id="111"/>
      </w:r>
      <w:r w:rsidRPr="00E97E0B">
        <w:rPr>
          <w:rFonts w:ascii="Times" w:eastAsia="Calibri" w:hAnsi="Times" w:cs="Times New Roman"/>
          <w:sz w:val="24"/>
          <w:szCs w:val="24"/>
        </w:rPr>
        <w:t xml:space="preserve">  </w:t>
      </w:r>
    </w:p>
    <w:p w14:paraId="4807E31B"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Jäger ve dispozitif analizi Foucault’nun söylem ve bilgi kavramsallaştırmalarına en yakın analiz yaklaşımlarından biridir. Söylemsel veya söylemsel olmayan uygulama ile, bu uygulamaların nesnelerin arasında kör bir nokta olduğunu söyleyen Jäger, özneye sosyal eyleyen olarak söylemle gerçeklik arasında bir köprü görevi biçer. Jäger, söylem parçası, tematik olarak bir araya gelen söylem dizisi, söylemsel olay ve bağlamlar, söylem düzlemi, söylem pozisyonu ve toplumsal söylem kavramsallaştırmaları üzerinden dispozitif analizi biçimlendirir. İlki belirli bir konuyla ilgili metni ifade eder. Söylem pozisyonu söylemin kaynağının ideolojik konumuna işaret eder. Jäger ilk olarak konu ve söylem dizisinin belirlenmesini ardından söylemin düzlemine karar verilmesini sonrasında da malzemenin toplanmasını önerir. Ardından analiz yapılır ve kaynağın söylem pozisyonu incelenir. Söylem pozisyonu belirlenen kaynak veya kaynakların temalarının temalardaki tekerrür eden unsurların, karşıtlıkların ve varsa temaların alt başlıkları belirlenir.  Ardından söylem parçalarının analizine geçilerek </w:t>
      </w:r>
      <w:r w:rsidRPr="00E97E0B">
        <w:rPr>
          <w:rFonts w:ascii="Times" w:eastAsia="Calibri" w:hAnsi="Times" w:cs="Times New Roman"/>
          <w:sz w:val="24"/>
          <w:szCs w:val="24"/>
        </w:rPr>
        <w:lastRenderedPageBreak/>
        <w:t>metaforlar imalar, argümantasyon ve kelime dağarcığı gibi stratejik araçlarına eğilinir. Son olarak da tüm analiz ve verilerin genel bir çözümlemesi yapılır.</w:t>
      </w:r>
      <w:r w:rsidRPr="00E97E0B">
        <w:rPr>
          <w:rFonts w:ascii="Times" w:eastAsia="Calibri" w:hAnsi="Times" w:cs="Times New Roman"/>
          <w:sz w:val="24"/>
          <w:szCs w:val="24"/>
          <w:vertAlign w:val="superscript"/>
        </w:rPr>
        <w:footnoteReference w:id="112"/>
      </w:r>
    </w:p>
    <w:p w14:paraId="71A07140"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Scollon’un aracılı söylem analizi ise bir mikro sosyoloji yaklaşımı olarak bilinir ve sosyal sorunlara odaklanır ancak onda söylem yalnızca bir çıkış noktası olarak görülür, böylece sosyal sorunlara ve eyleme odaklanılır. Bu nedenle çalışmada Scollon’un söylem analizine fazlaca değinilmeyecek.</w:t>
      </w:r>
    </w:p>
    <w:p w14:paraId="33259A6A" w14:textId="77777777" w:rsidR="002858AE" w:rsidRPr="00E97E0B" w:rsidRDefault="002858AE" w:rsidP="00E93FD2">
      <w:pPr>
        <w:pStyle w:val="Heading2"/>
      </w:pPr>
      <w:bookmarkStart w:id="53" w:name="_Toc141133065"/>
      <w:r w:rsidRPr="00E97E0B">
        <w:t>2.3. İdeoloji ve Söylem</w:t>
      </w:r>
      <w:bookmarkEnd w:id="53"/>
      <w:r w:rsidRPr="00E97E0B">
        <w:t xml:space="preserve"> </w:t>
      </w:r>
    </w:p>
    <w:p w14:paraId="44A19938"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İdeoloji tıpkı söylem gibi üzerinde fikir birliğine varılamayacağı aşağı yukarı kesinleşmiş bir kavramdır. Öyle ki pek çok anlamın önerildiği ideoloji birbirinden oldukça farklı kavramsal liflerin iç içe geçerek ördüğü bir dokuya benzetilmiştir.</w:t>
      </w:r>
      <w:r w:rsidRPr="00E97E0B">
        <w:rPr>
          <w:rFonts w:ascii="Times" w:eastAsia="Calibri" w:hAnsi="Times" w:cs="Times New Roman"/>
          <w:sz w:val="24"/>
          <w:szCs w:val="24"/>
          <w:vertAlign w:val="superscript"/>
        </w:rPr>
        <w:footnoteReference w:id="113"/>
      </w:r>
      <w:r w:rsidRPr="00E97E0B">
        <w:rPr>
          <w:rFonts w:ascii="Times" w:eastAsia="Calibri" w:hAnsi="Times" w:cs="Times New Roman"/>
          <w:sz w:val="24"/>
          <w:szCs w:val="24"/>
        </w:rPr>
        <w:t xml:space="preserve"> Eagleton’ın çeşitli kaynaklardan yararlanarak önerdiği kısa ideoloji karşılıklarının bazıları çalışmanın konusu itibariyle öne çıkmaktadır. Bu tanımların birbirine uymak şöyle dursun yer yer belirgin bir şekilde çelişmesi söz konusudur ancak öne çıkanlarından bazıları çalışmaya çerçeve sunmak bakımından bir arada anlaşılmalıdır. </w:t>
      </w:r>
      <w:r w:rsidRPr="00E97E0B">
        <w:rPr>
          <w:rFonts w:ascii="Times" w:eastAsia="Calibri" w:hAnsi="Times" w:cs="Times New Roman"/>
          <w:i/>
          <w:iCs/>
          <w:sz w:val="24"/>
          <w:szCs w:val="24"/>
        </w:rPr>
        <w:t xml:space="preserve">Toplumsal yaşamdaki anlam gösterge ve değerlerin üretim süreci </w:t>
      </w:r>
      <w:r w:rsidRPr="00E97E0B">
        <w:rPr>
          <w:rFonts w:ascii="Times" w:eastAsia="Calibri" w:hAnsi="Times" w:cs="Times New Roman"/>
          <w:sz w:val="24"/>
          <w:szCs w:val="24"/>
        </w:rPr>
        <w:t xml:space="preserve">tanımı söylemsel bağlamda ideolojinin konumunu anlaşılır kılarken, </w:t>
      </w:r>
      <w:r w:rsidRPr="00E97E0B">
        <w:rPr>
          <w:rFonts w:ascii="Times" w:eastAsia="Calibri" w:hAnsi="Times" w:cs="Times New Roman"/>
          <w:i/>
          <w:iCs/>
          <w:sz w:val="24"/>
          <w:szCs w:val="24"/>
        </w:rPr>
        <w:t xml:space="preserve">belirli bir toplumsal sınıfa ait fikirler kümesi </w:t>
      </w:r>
      <w:r w:rsidRPr="00E97E0B">
        <w:rPr>
          <w:rFonts w:ascii="Times" w:eastAsia="Calibri" w:hAnsi="Times" w:cs="Times New Roman"/>
          <w:sz w:val="24"/>
          <w:szCs w:val="24"/>
        </w:rPr>
        <w:t xml:space="preserve">tanımı ve </w:t>
      </w:r>
      <w:r w:rsidRPr="00E97E0B">
        <w:rPr>
          <w:rFonts w:ascii="Times" w:eastAsia="Calibri" w:hAnsi="Times" w:cs="Times New Roman"/>
          <w:i/>
          <w:iCs/>
          <w:sz w:val="24"/>
          <w:szCs w:val="24"/>
        </w:rPr>
        <w:t>özneye belirli bir konum sunan şey</w:t>
      </w:r>
      <w:r w:rsidRPr="00E97E0B">
        <w:rPr>
          <w:rFonts w:ascii="Times" w:eastAsia="Calibri" w:hAnsi="Times" w:cs="Times New Roman"/>
          <w:sz w:val="24"/>
          <w:szCs w:val="24"/>
        </w:rPr>
        <w:t xml:space="preserve"> tanımı söylem çalışması çerçevesinde hem bireylerin hem de kimliklerin konumu hakkında düşünmeye teşvik etmektedir. </w:t>
      </w:r>
      <w:r w:rsidRPr="00E97E0B">
        <w:rPr>
          <w:rFonts w:ascii="Times" w:eastAsia="Calibri" w:hAnsi="Times" w:cs="Times New Roman"/>
          <w:i/>
          <w:iCs/>
          <w:sz w:val="24"/>
          <w:szCs w:val="24"/>
        </w:rPr>
        <w:t xml:space="preserve">Bir egemen siyasi iktidarı meşrulaştırmaya hizmet eden yanlış fikirler </w:t>
      </w:r>
      <w:r w:rsidRPr="00E97E0B">
        <w:rPr>
          <w:rFonts w:ascii="Times" w:eastAsia="Calibri" w:hAnsi="Times" w:cs="Times New Roman"/>
          <w:sz w:val="24"/>
          <w:szCs w:val="24"/>
        </w:rPr>
        <w:t xml:space="preserve">tanımı ideolojiyi bir çarpıtma amacına hizmet eden ve gerçekliği olduğu gibi algılamaya -ki bu objektif bir gerçekliği varsayan bir yaklaşımı barındırır- engel olmayı içeren yanıltıcı olumsuz bir anlamı içerir. </w:t>
      </w:r>
    </w:p>
    <w:p w14:paraId="067FC27A" w14:textId="59501B6F"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Yukarıda belirtilen ideoloji tanımlarının bazıları örtülü olarak gerçeğin tam olarak bilinemeyeceği gibi bir anlamı içerirken </w:t>
      </w:r>
      <w:r w:rsidRPr="00E97E0B">
        <w:rPr>
          <w:rFonts w:ascii="Times" w:eastAsia="Calibri" w:hAnsi="Times" w:cs="Times New Roman"/>
          <w:i/>
          <w:iCs/>
          <w:sz w:val="24"/>
          <w:szCs w:val="24"/>
        </w:rPr>
        <w:t>eylem amaçlı inançlar kümesi</w:t>
      </w:r>
      <w:r w:rsidRPr="00E97E0B">
        <w:rPr>
          <w:rFonts w:ascii="Times" w:eastAsia="Calibri" w:hAnsi="Times" w:cs="Times New Roman"/>
          <w:sz w:val="24"/>
          <w:szCs w:val="24"/>
        </w:rPr>
        <w:t xml:space="preserve"> veya </w:t>
      </w:r>
      <w:r w:rsidRPr="00E97E0B">
        <w:rPr>
          <w:rFonts w:ascii="Times" w:eastAsia="Calibri" w:hAnsi="Times" w:cs="Times New Roman"/>
          <w:i/>
          <w:iCs/>
          <w:sz w:val="24"/>
          <w:szCs w:val="24"/>
        </w:rPr>
        <w:t>söylem ve iktidar konjonktürü</w:t>
      </w:r>
      <w:r w:rsidRPr="00E97E0B">
        <w:rPr>
          <w:rFonts w:ascii="Times" w:eastAsia="Calibri" w:hAnsi="Times" w:cs="Times New Roman"/>
          <w:sz w:val="24"/>
          <w:szCs w:val="24"/>
        </w:rPr>
        <w:t xml:space="preserve"> gibi bazı tanımlar bunu tartışma konusu bile etmez. Diğer taraftan ideolojiyi olumsuz anlamla yükleyen </w:t>
      </w:r>
      <w:r w:rsidRPr="00E97E0B">
        <w:rPr>
          <w:rFonts w:ascii="Times" w:eastAsia="Calibri" w:hAnsi="Times" w:cs="Times New Roman"/>
          <w:i/>
          <w:iCs/>
          <w:sz w:val="24"/>
          <w:szCs w:val="24"/>
        </w:rPr>
        <w:t xml:space="preserve">sistemli bir şekilde tartışılan iletişim </w:t>
      </w:r>
      <w:r w:rsidRPr="00E97E0B">
        <w:rPr>
          <w:rFonts w:ascii="Times" w:eastAsia="Calibri" w:hAnsi="Times" w:cs="Times New Roman"/>
          <w:sz w:val="24"/>
          <w:szCs w:val="24"/>
        </w:rPr>
        <w:t xml:space="preserve">gibi tanımlar ise bilinebilecek bir gerçekliğin olduğunu ve fakat ideolojinin bunun görünmesine engel olmayı amaçladığını ima eder. Diğer taraftan anlamın </w:t>
      </w:r>
      <w:r w:rsidRPr="00E97E0B">
        <w:rPr>
          <w:rFonts w:ascii="Times" w:eastAsia="Calibri" w:hAnsi="Times" w:cs="Times New Roman"/>
          <w:sz w:val="24"/>
          <w:szCs w:val="24"/>
        </w:rPr>
        <w:lastRenderedPageBreak/>
        <w:t>inşacı perspektifle yorumlanması ile toplumsal çıkarları olan bilinçli aktörlerin kendi dünyalarına anlam vermeleri şeklindeki tanım öne çıkar.</w:t>
      </w:r>
      <w:r w:rsidRPr="00E97E0B">
        <w:rPr>
          <w:rFonts w:ascii="Times" w:eastAsia="Calibri" w:hAnsi="Times" w:cs="Times New Roman"/>
          <w:sz w:val="24"/>
          <w:szCs w:val="24"/>
          <w:vertAlign w:val="superscript"/>
        </w:rPr>
        <w:footnoteReference w:id="114"/>
      </w:r>
    </w:p>
    <w:p w14:paraId="6E548095"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Diğer taraftan Wodak ve Dijk söylem ve ideoloji arasında ilişkiyi vurgularlar. Özne olan bireyin sosyal hayatla bütünleşirken içinde bulunduğu ve mensubu olduğu toplumun ideolojisini söylemin dolaşıma soktuğu temsiller vasıtasıyla içselleştirerek kendisi de ortaya koyduğu söylemde tartışma savunma ve meşrulaştırma eylemlerini söylem üzerinden bu temsiller yardımıyla icra eder. Wodak söylemi </w:t>
      </w:r>
      <w:r w:rsidRPr="00E97E0B">
        <w:rPr>
          <w:rFonts w:ascii="Times" w:eastAsia="Calibri" w:hAnsi="Times" w:cs="Times New Roman"/>
          <w:i/>
          <w:iCs/>
          <w:sz w:val="24"/>
          <w:szCs w:val="24"/>
        </w:rPr>
        <w:t>lieu de mémoire</w:t>
      </w:r>
      <w:r w:rsidRPr="00E97E0B">
        <w:rPr>
          <w:rFonts w:ascii="Times" w:eastAsia="Calibri" w:hAnsi="Times" w:cs="Times New Roman"/>
          <w:sz w:val="24"/>
          <w:szCs w:val="24"/>
        </w:rPr>
        <w:t xml:space="preserve"> yani kolektif kimliğin kuruluşuna katkı veren her tür fikirsel yahut somut unsurdan, herhengi bir politikaya, bir metne ya da stratejiye kadar pek çok unsurun içinde bulunduğu geniş bir çerçevede tanımlar. Bu söylemlerin arkasına güç ilişkileri ve ideoloji yükleme biçimleri siyasi ve toplumsal hayatın seyrinde stratejik niyetlerle yerleşmektedir.</w:t>
      </w:r>
      <w:r w:rsidRPr="00E97E0B">
        <w:rPr>
          <w:rFonts w:ascii="Times" w:eastAsia="Calibri" w:hAnsi="Times" w:cs="Times New Roman"/>
          <w:sz w:val="24"/>
          <w:szCs w:val="24"/>
          <w:vertAlign w:val="superscript"/>
        </w:rPr>
        <w:footnoteReference w:id="115"/>
      </w:r>
    </w:p>
    <w:p w14:paraId="3AD5D229" w14:textId="77777777" w:rsidR="002858AE" w:rsidRPr="00E97E0B" w:rsidRDefault="002858AE" w:rsidP="00E93FD2">
      <w:pPr>
        <w:pStyle w:val="Heading3"/>
      </w:pPr>
      <w:bookmarkStart w:id="56" w:name="_Toc141133066"/>
      <w:r w:rsidRPr="00E97E0B">
        <w:t>2.3.1. İdeoloji Kavramı</w:t>
      </w:r>
      <w:bookmarkEnd w:id="56"/>
      <w:r w:rsidRPr="00E97E0B">
        <w:t xml:space="preserve"> </w:t>
      </w:r>
    </w:p>
    <w:p w14:paraId="37EC367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İdeolojinin pek çok tanımı olmasına karşın bazı tanımları diğerlerine göre daha fazla ön plana çıkmaktadır. Lane’e göre ideoloji şunları yapan kavramların oluşturduğu bir bütüne işaret eder: 1) “Kimler yönetecek? Yöneticiler nasıl belirlenecek? Hangi ilkeler doğrultusunda yönetecekler?” sorularına yanıt vermeye çalışır. 2) Muhalif ve karşıt görüşleri ikna etmeye ve onları çürütmeye yöneli argümanlar oluşturmaya çalışır. 3) Yaşamdaki büyük değerlerin bazılarına tümden tesir eder. 4) Önemli sosyal kurumların savunulmasını, reforme edilmesini feshedilmesini kapsayan bir hedefe sahiptir. 5) Belirli grupların çıkarlarının rasyonalizasyonuna hizmet eder ancak bu kendisini destekleyen tüm grupları kapsamak zorunda değildir. 6)  İçerik ve tarz olarak normatif, etik ve ahlakidir. 7) Daha geniş bir inanıştaki bağlamından çıkmış ve o inanışla ortak bir yapıya ve tarza sahiptir.</w:t>
      </w:r>
      <w:r w:rsidRPr="00E97E0B">
        <w:rPr>
          <w:rFonts w:ascii="Times" w:eastAsia="Calibri" w:hAnsi="Times" w:cs="Times New Roman"/>
          <w:sz w:val="24"/>
          <w:szCs w:val="24"/>
          <w:vertAlign w:val="superscript"/>
        </w:rPr>
        <w:footnoteReference w:id="116"/>
      </w:r>
      <w:r w:rsidRPr="00E97E0B">
        <w:rPr>
          <w:rFonts w:ascii="Times" w:eastAsia="Calibri" w:hAnsi="Times" w:cs="Times New Roman"/>
          <w:sz w:val="24"/>
          <w:szCs w:val="24"/>
        </w:rPr>
        <w:t xml:space="preserve"> </w:t>
      </w:r>
    </w:p>
    <w:p w14:paraId="7BF1C58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İdeolojiyi yanlış-bilinç anlamında tanımlamaya eğilimli olan klasik Marksist veyahut kapalı sistemler ve dogmalar bütünü olarak adlandıran ana akım liberalizmin aksine siyasî grupları söylemleri ve kimliklerin konumlarını anlamlandırmamıza yardımcı olabilecek şekilde dünya görüşü içeren değerler sistemleri olarak ideolojiyi ele almak faydalı olacaktır. Dahası yanlış-bilinç kavramını temellendirmenin oldukça geçersiz olacağı kolaylıkla söylenebilir zira bir ideolojiyi incelerken veya birden çok sayıda ideolojiyi karşılaştırırken her birini eleştirmek mümkündür. Eksik taraflarını yine tamamen tarafsız olamayan bir gözle inceleyip ayrıntılı bir şekilde ortaya koymamız da mümkündür, aralarında kıyaslama yaparak incelemek ve görece güçlü ve zayıf yanlarını ele almak da mümkündür. Ancak hiçbir “ideoloji” tanımına girebilecek düşünce sistemini ele alırken kusursuz bulabilmemiz mümkün değildir.</w:t>
      </w:r>
    </w:p>
    <w:p w14:paraId="0533872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Karl Mannheim’a göre yanlış-bilinç kavramının sorunu günümüzde yalnızca sabit ve değişmeyen bir gerçekliğin kavranamayacak olmasından değil, dünyalarımızı oluşturan zihinsel süreçlerin sürekli yeniden düzenlenmesinin sonucu olan bir gerçekliğin kavranmasını engellediğinden ileri gelmektedir. Dolayısıyla hangi fikirlerin hangi durumda geçerli ve uygun olabileceği üzerinde yoğunlaşmak bir mecburiyet olacaktır.</w:t>
      </w:r>
      <w:r w:rsidRPr="00E97E0B">
        <w:rPr>
          <w:rFonts w:ascii="Times" w:eastAsia="Calibri" w:hAnsi="Times" w:cs="Times New Roman"/>
          <w:sz w:val="24"/>
          <w:szCs w:val="24"/>
          <w:vertAlign w:val="superscript"/>
        </w:rPr>
        <w:footnoteReference w:id="117"/>
      </w:r>
      <w:r w:rsidRPr="00E97E0B">
        <w:rPr>
          <w:rFonts w:ascii="Times" w:eastAsia="Calibri" w:hAnsi="Times" w:cs="Times New Roman"/>
          <w:sz w:val="24"/>
          <w:szCs w:val="24"/>
        </w:rPr>
        <w:t xml:space="preserve"> Bu durumda “yanlışlığın” kendisine özgü olduğu bir ideolojinin olabildiğini önvarsaymamız mümkün görünmemektedir. Bu nedenle farklı ideolojilerin savunucularının da hatalı olduğunu söylemek kolay olmayacaktır. Donald Davidson insanların söylediği şeylerin çoğu sefer doğru olduğunu varsayamazsak onların söylediklerinin ardında yatan sistem olan dili de anladığımızı varsayamayız, demektedir. Özellikle de günlük hayatla ilgili olarak söylenilenlerin çoğu kez herhangi bir ideolojik şemadan da doğru veya rasyonel olabildiğini varsayabiliriz. İnsanlar günlük yaşamlarıyla ilgili bilgilerinde yanılıyor olsalar da bunun pratik olarak zararlarının daha az olduğu konularda daha sık gerçekleşmesi mantıksal olarak öngörülebilir. Davidson’a göre anlamdan olgulardan emin olduğumuzdan daha fazla veya az emin olamayacağımızdan bu noktada karşı çıkmadan ilişkilendirme (correspondance without confrontation) olarak özetlenebilecek bir yaklaşımla ideolojileri yargılamadan anlamak ön plana </w:t>
      </w:r>
      <w:r w:rsidRPr="00E97E0B">
        <w:rPr>
          <w:rFonts w:ascii="Times" w:eastAsia="Calibri" w:hAnsi="Times" w:cs="Times New Roman"/>
          <w:sz w:val="24"/>
          <w:szCs w:val="24"/>
        </w:rPr>
        <w:lastRenderedPageBreak/>
        <w:t>çıkmaktadır.</w:t>
      </w:r>
      <w:r w:rsidRPr="00E97E0B">
        <w:rPr>
          <w:rFonts w:ascii="Times" w:eastAsia="Calibri" w:hAnsi="Times" w:cs="Times New Roman"/>
          <w:sz w:val="24"/>
          <w:szCs w:val="24"/>
          <w:vertAlign w:val="superscript"/>
        </w:rPr>
        <w:footnoteReference w:id="118"/>
      </w:r>
      <w:r w:rsidRPr="00E97E0B">
        <w:rPr>
          <w:rFonts w:ascii="Times" w:eastAsia="Calibri" w:hAnsi="Times" w:cs="Times New Roman"/>
          <w:sz w:val="24"/>
          <w:szCs w:val="24"/>
        </w:rPr>
        <w:t xml:space="preserve"> Elbette bunu kendi yargılarımıza ve düşünce sistemimize uygularken aşırıya kaçmamız durumunda görececiliğe düşmemiz de olasıdır. Dahası bu durum Habermas’taki tanımından yola çıkıldığında görülecek olan sistematik çarpıtma ve anlamsal sapmaları anlarken yetersiz bir yaklaşım olacaktır. Dahası yalan kavramsal çerçevede sınır çizerken neyi dışladığı veya içeriye aldığı da ideolojileri anlarken gerekecek ölçütlerdir.</w:t>
      </w:r>
      <w:r w:rsidRPr="00E97E0B">
        <w:rPr>
          <w:rFonts w:ascii="Times" w:eastAsia="Calibri" w:hAnsi="Times" w:cs="Times New Roman"/>
          <w:sz w:val="24"/>
          <w:szCs w:val="24"/>
          <w:vertAlign w:val="superscript"/>
        </w:rPr>
        <w:footnoteReference w:id="119"/>
      </w:r>
      <w:r w:rsidRPr="00E97E0B">
        <w:rPr>
          <w:rFonts w:ascii="Times" w:eastAsia="Calibri" w:hAnsi="Times" w:cs="Times New Roman"/>
          <w:sz w:val="24"/>
          <w:szCs w:val="24"/>
        </w:rPr>
        <w:t xml:space="preserve"> </w:t>
      </w:r>
    </w:p>
    <w:p w14:paraId="24D515E0"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İdeoloji Martin Seliger’in de yaptığı gibi toplumsal ve siyasi eylemin araç ve amaçlarını, toplumsal düzeni koruma değiştirme veya yıkma amacı taşıyıp taşımadığına bakmadan belirleme açıklama ve onaylama amacıyla sadece bir şema olarak tanımlamanın yeterli görünmediğini düşünebiliriz.</w:t>
      </w:r>
      <w:r w:rsidRPr="00E97E0B">
        <w:rPr>
          <w:rFonts w:ascii="Times" w:eastAsia="Calibri" w:hAnsi="Times" w:cs="Times New Roman"/>
          <w:sz w:val="24"/>
          <w:szCs w:val="24"/>
          <w:vertAlign w:val="superscript"/>
        </w:rPr>
        <w:footnoteReference w:id="120"/>
      </w:r>
      <w:r w:rsidRPr="00E97E0B">
        <w:rPr>
          <w:rFonts w:ascii="Times" w:eastAsia="Calibri" w:hAnsi="Times" w:cs="Times New Roman"/>
          <w:sz w:val="24"/>
          <w:szCs w:val="24"/>
        </w:rPr>
        <w:t xml:space="preserve"> Her ne kadar bir ideolojiye sahip kişi siyasi eylemde bulunmakta istekli olmasa ve hatta siyasi bir eylemde bulunmasa bile tavrı ve tutumunun onayladığı veya “tarafını tuttuğu” ideolojiden tamamen bağımsız olması veya onunla sürekli çelişmesi beklenemez. Diğer taraftan klasik anlamda kabul ettiğimiz siyaset alanında sınırlı kalmayan hatta yer yer iktidar mücadelelerinin bile kapsamı dışında kalabilen ideolojinin toplumsal yaşamdaki hangi mücadeleleri içerdiği hangilerini içermediği konusunda ayrım yaptığını kabul etmemiz gerekecektir. Aksi takdirde tanımın sınırlarının aşırı genişlemesi tehlikesi kavramın içini boşaltabilir.</w:t>
      </w:r>
      <w:r w:rsidRPr="00E97E0B">
        <w:rPr>
          <w:rFonts w:ascii="Times" w:eastAsia="Calibri" w:hAnsi="Times" w:cs="Times New Roman"/>
          <w:sz w:val="24"/>
          <w:szCs w:val="24"/>
          <w:vertAlign w:val="superscript"/>
        </w:rPr>
        <w:footnoteReference w:id="121"/>
      </w:r>
      <w:r w:rsidRPr="00E97E0B">
        <w:rPr>
          <w:rFonts w:ascii="Times" w:eastAsia="Calibri" w:hAnsi="Times" w:cs="Times New Roman"/>
          <w:sz w:val="24"/>
          <w:szCs w:val="24"/>
        </w:rPr>
        <w:t xml:space="preserve"> Diğer taraftan Austin’in vurguladığı edimsel tarafına baktığımızda ideolojinin tıpkı söylemsel psikolojide olduğu gibi eyleme durumu olarak yorumlanması da mümkündür. Foucault’da ise söylem, ideoloji teriminin yerini almıştır. Ancak bu durum ideolojinin toplumsal sınırlarını net bir şekilde çizmeyi ve e siyasi iktidarı ilgilendiren kısmını kavramayı zorlaştırma riskini taşır. </w:t>
      </w:r>
    </w:p>
    <w:p w14:paraId="1DB4EE0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İdeolojiyi Eagleton’da en genel haliyle altı tanım altında okuyabiliriz. İdeolojiyi idealizm sınıdırının kalın bir şekilde çekilmesini sağlayan ise ideolojinin fikirlerin toplumsal olarak belirlenmesi hakkında yaptığı açık vurgudur. İdeoloji tanımlarının ilki ideolojinin siyasi ve toplumsal mücadeleleri, iktidar mücadelelerini kapsamına almasıdır. Bu nedenle ideolojinin sınırlarını çizerken </w:t>
      </w:r>
      <w:r w:rsidRPr="00E97E0B">
        <w:rPr>
          <w:rFonts w:ascii="Times" w:eastAsia="Calibri" w:hAnsi="Times" w:cs="Times New Roman"/>
          <w:sz w:val="24"/>
          <w:szCs w:val="24"/>
        </w:rPr>
        <w:lastRenderedPageBreak/>
        <w:t>bireyin tek başına içinde bulunabileceği bir durum veya olgu değildir. İkincisi ise sosyal açıdan belirli bir grubun veya sınıfın içinde bulunduğu durumu ve geçmişinden öğrendiklerini temsil eden inanç ve düşüncelerini anlatır. Üçüncüsü gruplar arasındaki ilişki ve çatışmalar üzerinden grup çıkarlarının meşrulaştırılması ve desteklenmesini içerir. Dördüncü tanım ise üçüncüdeki çıkar meşrulaştırması ve desteklenmesi tanımını egemen bir toplumsal gücün etkinlikleri çerçevesine oturtur. Beşincisi ise bunlara ek olarak ikiyüzlülük ve çarpıtma stratejisini ekler. Altıncı olarak ise tüm bu beş tanımın içeriğini alarak egemen sınıf çıkarları üzerinden değil de bütün olarak toplum ve onun maddi yapısı üzerinden okuma yapılmasını önerir.</w:t>
      </w:r>
      <w:r w:rsidRPr="00E97E0B">
        <w:rPr>
          <w:rFonts w:ascii="Times" w:eastAsia="Calibri" w:hAnsi="Times" w:cs="Times New Roman"/>
          <w:sz w:val="24"/>
          <w:szCs w:val="24"/>
          <w:vertAlign w:val="superscript"/>
        </w:rPr>
        <w:footnoteReference w:id="122"/>
      </w:r>
    </w:p>
    <w:p w14:paraId="411BFFC5" w14:textId="77777777" w:rsidR="002858AE" w:rsidRPr="00E97E0B" w:rsidRDefault="002858AE" w:rsidP="002B7FA9">
      <w:pPr>
        <w:pStyle w:val="Heading4"/>
      </w:pPr>
      <w:bookmarkStart w:id="60" w:name="_Toc141133067"/>
      <w:r w:rsidRPr="00E97E0B">
        <w:t>2.3.1.1. Bağlam içinde ve Kimlik Açısından İdeoloji</w:t>
      </w:r>
      <w:bookmarkEnd w:id="60"/>
    </w:p>
    <w:p w14:paraId="6A300D1E"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İdeolojinin bağlamsal yönü günlük analizlerde sıklıkla ihmal edildiğini gözlemleyebiliriz, zira basın yayın organlarından sosyolojiye, siyasete ve uluslarararası ilişkilere kadar çeşitli konularda yayın ve konuşma yapanların genelde konuşmalarındaki ideolojik bağlamın üzerinde durmaları ve açık etmeleri beklenmez. Dahası zaten toplum içinde belirli bir konuyla ilgilenenlerin o sahada kimlerin hangi tarafta olduğuna dair genel bir algıları bulunmaktadır. Siyasetçileri ve kurumsal aidiyeti bulunan aktörleri bir kenara bırakırsak, akademisyenler, yorumcular, gazeteciler veya analistler çok nadiren ideolojik taraflılıklarını açıkça kabul etme, üzerinde durma ve sahiplenme eğilimindedirler. Yine siyasi ve toplumsal olayları yorumlama meşruiyetini toplumsal konumları gereği elde etmiş bu kimseler bu tavırlarıyla örtülü bir biçimde tarafsız, özgün ve özgür iradeleriyle tercih ve analiz yapmakta olduklarını ima etmiş olurlar. Ancak bu imayı da açık bir şekilde dile getirmek inandırıcı olamayacağından ve büyüklenmeci görüneceğinden böyle bir beyanda da bulunamazlar. En fazla niyetlerinin bu olduğu ve mümkün mertebe bunu yaptıklarını söyleyebilirler ki bu ifadeyi idealize ederek savunmak oldukça korunaklı bir alanda konumlanmamıza yardım edebilir. Buna rağmen her dönemin güncellenmiş versiyonlarıyla rakipleriyle çatışan ideolojileri ve her bir sosyal failin de -özellikle de fail olarak ihmal edilemeyecek denli toplumda yer edinmiş olanların- bir konumu bulunduğunu kabul etmek makul olacaktır. </w:t>
      </w:r>
    </w:p>
    <w:p w14:paraId="50742EF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Adorno'nun ideoloji hakkındaki aşkın geleneksel anlayışı eleştirirken diyalektik bakışın ideolojinin kendi içinde doğru olmayan bir şey olmadığını doğru olmayan şeyin ideolojinin gerçekle örtüştüğü iddiası olduğunu savunduğunu dile getirir. </w:t>
      </w:r>
    </w:p>
    <w:p w14:paraId="143A5EE6" w14:textId="77777777" w:rsidR="002858AE" w:rsidRPr="00E97E0B" w:rsidRDefault="002858AE" w:rsidP="002858AE">
      <w:pPr>
        <w:spacing w:before="120" w:after="120" w:line="360" w:lineRule="auto"/>
        <w:jc w:val="both"/>
        <w:rPr>
          <w:rFonts w:ascii="Times" w:eastAsia="Calibri" w:hAnsi="Times" w:cs="Times New Roman"/>
          <w:sz w:val="24"/>
          <w:szCs w:val="24"/>
        </w:rPr>
      </w:pPr>
      <w:r w:rsidRPr="00E97E0B">
        <w:rPr>
          <w:rFonts w:ascii="Times" w:eastAsia="Calibri" w:hAnsi="Times" w:cs="Times New Roman"/>
          <w:sz w:val="24"/>
          <w:szCs w:val="24"/>
        </w:rPr>
        <w:t>Kimliğin “kendi içinde olan şeyin konseptiyle uyuşması” olarak kabul etmeyen Adorno, ideolojinin açık bir idealizmle sınırlanamayacağını fakat onun örtük kimliğinde konseptinin barındığını kabul eder. Ona göre bir düşüncenin de antitezi onun içkin çelişkisi olarak o düşüncenin içinde yeniden üretilir. Buna dayanarak kimliği, ideolojinin fikren sınırlandırdığı veya bastırdığı şeye uygun olan bir ön-formu olarak görür. Burada negatif olarak öncelikle fikrinin veya tarafının neleri içermediği üzerinden bir ön anlamlandırma yapıldığının savunulduğunu söyleyebiliriz. Kimlik de bu şekilde ortaya çıkmaktadır. Buna göre kimlik ne olduğumuzun net bir şekilde tanımlandığından ziyade ne olunmadığımızın net bir şekilde tanımlanması üzerinden kurulan bir şeydir.</w:t>
      </w:r>
      <w:r w:rsidRPr="00E97E0B">
        <w:rPr>
          <w:rFonts w:ascii="Times" w:eastAsia="Calibri" w:hAnsi="Times" w:cs="Times New Roman"/>
          <w:sz w:val="24"/>
          <w:szCs w:val="24"/>
          <w:vertAlign w:val="superscript"/>
        </w:rPr>
        <w:footnoteReference w:id="123"/>
      </w:r>
      <w:r w:rsidRPr="00E97E0B">
        <w:rPr>
          <w:rFonts w:ascii="Times" w:eastAsia="Calibri" w:hAnsi="Times" w:cs="Times New Roman"/>
          <w:sz w:val="24"/>
          <w:szCs w:val="24"/>
        </w:rPr>
        <w:t xml:space="preserve"> </w:t>
      </w:r>
    </w:p>
    <w:p w14:paraId="1E5754A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İnsan da dış koşullar nedeniyle maruz kalmak zorunda olduğu özdeşleşme biçimlerinden azade olsaydı bile mensup olduğu/olmayı seçeceği kimliğin kavramlarıyla özdeşleşmesi beklenirdi. Bu dış koşullar aslında insanların oluşturduğu bir kimlik algısıyla ilgilidir; kimliği evrensel, mutlak olarak anlıyor ve kavramsallaştırıyor oluşumuz kimliği aynı zamanda çelişkili bir biçimde kendimizi ondan özgürleştirmeyi de düşündüğümüz zorlayıcı bir mekanizma haline getirmek demektir. Liberalizmdeki takas ilkesini özgür ve adil takas tasavvuru üzerinden anlamaya çalıştığımızda; eşit olarak kabul edilen ama aslında eşit olmayan şeylerin değiştokuşu olduğunu görürüz. Ancak bu anlayış niteliksel açıdan farklılığı kabul etmemiş ve bu farklılıkları onları eşit olmadığı halde eşitlemeye zorlayarak sınırlamıştır. Bu da kimliksel zenginlik ve nitel farklılıkları da rakamlara indirgeme riskini doğurabilir.</w:t>
      </w:r>
      <w:r w:rsidRPr="00E97E0B">
        <w:rPr>
          <w:rFonts w:ascii="Times" w:eastAsia="Calibri" w:hAnsi="Times" w:cs="Times New Roman"/>
          <w:sz w:val="24"/>
          <w:szCs w:val="24"/>
          <w:vertAlign w:val="superscript"/>
        </w:rPr>
        <w:footnoteReference w:id="124"/>
      </w:r>
      <w:r w:rsidRPr="00E97E0B">
        <w:rPr>
          <w:rFonts w:ascii="Times" w:eastAsia="Calibri" w:hAnsi="Times" w:cs="Times New Roman"/>
          <w:sz w:val="24"/>
          <w:szCs w:val="24"/>
        </w:rPr>
        <w:t xml:space="preserve"> Bu risk Adorno’daki haliyle burjuva ideolojisine isnat edilmiş olsa da aslında modernleştirici ve materyalist temele sahip tüm ideolojiler için benzer riskleri taşıyabilir. </w:t>
      </w:r>
    </w:p>
    <w:p w14:paraId="6961EEE8" w14:textId="303039A9" w:rsidR="002858AE" w:rsidRPr="00E97E0B" w:rsidRDefault="002858AE" w:rsidP="006211E3">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Diğer taraftan idealizmin şekli bir kimlik anlayışı olduğunu iddia eden düşünür, onun olumlayıcı bir töze sahip olduğunu savunur. Aksi durumda harekete geçemeyeceğini ve tez, antitezin sentez yapamayacağını söyler. Bu durumda kimliğin de istenilen ve olumlu bir şey dolduğu sonucuna varır. Bu da öznenin sebebin ne kadar kendisine ait olduğunu düşünmesini ile uzlaşmayı dolayısıyla iyi olmayı beraberinde getirir. Bu da öznenin aslında kendisi olmayan şeyleri de aynı potada eriterek kendisine aitmiş gibi görmesiyle sonuçlanır. Kimlik, öznenin nesnenin özneye yaptığı şeyi özneye yansıttığı bir uyum doktrini olarak otorite haline ve kendi ait olduğu kimlik grubunun öznel iyi niyetine rağmen gelir ve bu otorite “ben”e biz olma sıfatıyla yön verir ve hatta ona ve aklına ve kararlarına bir anlamda ve ölçüde zımni olarak doğruluğunun evrensel olduğu iddiası taşıyarak hükmeder.</w:t>
      </w:r>
      <w:r w:rsidRPr="00E97E0B">
        <w:rPr>
          <w:rFonts w:ascii="Times" w:eastAsia="Calibri" w:hAnsi="Times" w:cs="Times New Roman"/>
          <w:sz w:val="24"/>
          <w:szCs w:val="24"/>
          <w:vertAlign w:val="superscript"/>
        </w:rPr>
        <w:footnoteReference w:id="125"/>
      </w:r>
      <w:r w:rsidRPr="00E97E0B">
        <w:rPr>
          <w:rFonts w:ascii="Times" w:eastAsia="Calibri" w:hAnsi="Times" w:cs="Times New Roman"/>
          <w:sz w:val="24"/>
          <w:szCs w:val="24"/>
        </w:rPr>
        <w:t xml:space="preserve"> Eğer bu iddiayı nesnesi olan özneye bir ölçüde kabul ettirememiş olsaydı, gerçekten o kimliği sahiplenmek için bulunabileek geçerli nedenler o kimliği kalıcı kılamazdı. Adoro’nun fikirlerini de bu açıdan ele aldığımızda varılacak sonuç ideolojik kimliklerin öznelliğini kabul etmek olacaktır. Bu öznelliğin de ister istemez varsaydığı evrenselliği içinde kendi tasavvurlarını, dilini ve ütopyasını hâkim kılmaya ve doğaya şekillendirmeye çalışması da kaçınılmaz görünmektedir.</w:t>
      </w:r>
      <w:r w:rsidRPr="00E97E0B">
        <w:rPr>
          <w:rFonts w:ascii="Times" w:eastAsia="Calibri" w:hAnsi="Times" w:cs="Times New Roman"/>
          <w:sz w:val="24"/>
          <w:szCs w:val="24"/>
          <w:vertAlign w:val="superscript"/>
        </w:rPr>
        <w:footnoteReference w:id="126"/>
      </w:r>
    </w:p>
    <w:p w14:paraId="6D171A7D" w14:textId="77777777" w:rsidR="002858AE" w:rsidRPr="00E97E0B" w:rsidRDefault="002858AE" w:rsidP="002B7FA9">
      <w:pPr>
        <w:pStyle w:val="Heading4"/>
      </w:pPr>
      <w:bookmarkStart w:id="63" w:name="_Toc141133068"/>
      <w:r w:rsidRPr="00E97E0B">
        <w:t>2.3.1.2. Değerler Yapılar ve Düşünceler Bağlamında İdeoloji</w:t>
      </w:r>
      <w:bookmarkEnd w:id="63"/>
    </w:p>
    <w:p w14:paraId="2A600FF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Jon Elster öznelerin kendi itaat durumlarına ideolojik adaptasyonlarınun içsel olduğunu ve aksi takdirde yöneticiler tarafından gerçekleşecek kasıtlı ideolojik manipülasyonun yalnızca istenmeyen bir şey olmayacağını aynı zamanda yönetilenlerin zihinleriyle bağdaşmayacağını savunur. Ona göre ideolojik inançlar daha genel olarak değerlendirilebilecek önyargılı inançlar grubunun bir alt grubudur ve içinde bulunulan konumların ve çıkarların ayrımlarının açıklaması önyargının biçimleri olan çarpıtma ve ilüzyon ile yapılabilir. İnsandaki irasyonel bilişsel süreçler nedeniyle çarpıtma yoluyla aslında yeterli kanıtı bulunmayan fikir ve düşünceler rasyonelleştirme vasıtasıyla benimsenebilir. Bu aynı zamanda olgu ve olaylar arasında neden-sonuç ilişkisini yeterince ve sağlık bir biçimde </w:t>
      </w:r>
      <w:r w:rsidRPr="00E97E0B">
        <w:rPr>
          <w:rFonts w:ascii="Times" w:eastAsia="Calibri" w:hAnsi="Times" w:cs="Times New Roman"/>
          <w:sz w:val="24"/>
          <w:szCs w:val="24"/>
        </w:rPr>
        <w:lastRenderedPageBreak/>
        <w:t>sorgulamadan benimsemek şeklinde de gerçekleşir. Ancak çıkar ve aidiyet ilişkilerinin her zaman sağlıksız çıkarımlar yapacağını düşünmek doğru değildir. Burada neden-sonuç ilişkisi ile de fikrin arkasında arzuların tetiklediği özgür bir iradenin olup olmadığı sorusunu aynı zamanda eğer varsa bile çıkar ve konumun gereği olarak ortaya çıkarılan fikirsel yapıların -ki buna çarpıtmalar da dahil-  gerçekten konum ve çıkara hizmet edip etmeyeceği derin bir tartışma konusudur. Muhtemel fikirsel çelişkilerin ne denli hezeyan veya en azından hüsnüzan olabileceği de bir tartışma konusudur. Dahası hüsnüzanın tespit edilmesi oldukça zordur; içerdiği fikirlere ya da içerdiği inanışların diğer inanışlarla mukayese edilerek veya kesin kanıtlarla sınanmasına bakılarak anlaşılması oldukça zordur, olsa olsa bunun yerine derinlemesine anlamak için içinde bulunduğu koşulların o inanışı nasıl şekillendirdiğine dair bilgi edinmeye çalışabilriz.</w:t>
      </w:r>
      <w:r w:rsidRPr="00E97E0B">
        <w:rPr>
          <w:rFonts w:ascii="Times" w:eastAsia="Calibri" w:hAnsi="Times" w:cs="Times New Roman"/>
          <w:sz w:val="24"/>
          <w:szCs w:val="24"/>
          <w:vertAlign w:val="superscript"/>
        </w:rPr>
        <w:footnoteReference w:id="127"/>
      </w:r>
      <w:r w:rsidRPr="00E97E0B">
        <w:rPr>
          <w:rFonts w:ascii="Times" w:eastAsia="Calibri" w:hAnsi="Times" w:cs="Times New Roman"/>
          <w:sz w:val="24"/>
          <w:szCs w:val="24"/>
        </w:rPr>
        <w:t xml:space="preserve"> Bu nedenle de bir ideolojinin diğeriyle kıyaslanması bambaşka derinlikli bir tartışmanın konusu olabilir.</w:t>
      </w:r>
    </w:p>
    <w:p w14:paraId="213F5950" w14:textId="14C3A226" w:rsidR="002858AE" w:rsidRPr="00E97E0B" w:rsidRDefault="002858AE" w:rsidP="006211E3">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İlaveten doğruluk kriterinden bahsedecek olursak bir ideolojinin söylemlerinin kısmen kabul edilebilir kısmen de kabul edilemez ya da yanlı ve yanlış olduğunu söylemek mümkündür. Bazı olumladıkları veya reddettikleri argümanlar, söylem veya dil olarak, belirli bir durumu tasvir etmek bakımlarından, ampirik gerçeği, yarattığı tesir açısından veya temel varsayımı ve ilk bakıştaki anlamları bakımlarından ele alınabilir ve bunların bazıları açısından bir ideolojik söylem seti içinde doğru kabul edilebilir veya yanlış bilgi içerebilir unsurlara rastlanabilir. </w:t>
      </w:r>
    </w:p>
    <w:p w14:paraId="16522144" w14:textId="77777777" w:rsidR="002858AE" w:rsidRPr="00E97E0B" w:rsidRDefault="002858AE" w:rsidP="002B7FA9">
      <w:pPr>
        <w:pStyle w:val="Heading4"/>
      </w:pPr>
      <w:bookmarkStart w:id="65" w:name="_Toc141133069"/>
      <w:r w:rsidRPr="00E97E0B">
        <w:t>2.3.1.3. Toplum ve Toplumsal İlişkilerin Yeniden Üretimi Bağlamında İdeoloji</w:t>
      </w:r>
      <w:bookmarkEnd w:id="65"/>
    </w:p>
    <w:p w14:paraId="67D2E0F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İdeoloji her ne kadar her bir bireyin tamamen özgürce olmasa bile kendi iradesiyle benimseyebildiği bir düşünce sistemi veya bağıntılı düşünceler kümesi olarak anlaşılabilecek de olsa toplumsal yönü oldukça önemlidir. Rastlantısal ve gündelik pek çok şeyi ideolojinin bu alanına yerleşirilemez. Althusser ideolojilerin bilgi içerdiklerini ve bilişsel olmadıklarını pragmatik olduklarını savunur. </w:t>
      </w:r>
      <w:r w:rsidRPr="00E97E0B">
        <w:rPr>
          <w:rFonts w:ascii="Times" w:eastAsia="Calibri" w:hAnsi="Times" w:cs="Times New Roman"/>
          <w:sz w:val="24"/>
          <w:szCs w:val="24"/>
        </w:rPr>
        <w:lastRenderedPageBreak/>
        <w:t>İçerdikleri bilginin özneyi toplum bünyesinde yaptığı işlerdeki eylem ve uygulamalarını yönlendirir.</w:t>
      </w:r>
      <w:r w:rsidRPr="00E97E0B">
        <w:rPr>
          <w:rFonts w:ascii="Times" w:eastAsia="Calibri" w:hAnsi="Times" w:cs="Times New Roman"/>
          <w:sz w:val="24"/>
          <w:szCs w:val="24"/>
          <w:vertAlign w:val="superscript"/>
        </w:rPr>
        <w:footnoteReference w:id="128"/>
      </w:r>
      <w:r w:rsidRPr="00E97E0B">
        <w:rPr>
          <w:rFonts w:ascii="Times" w:eastAsia="Calibri" w:hAnsi="Times" w:cs="Times New Roman"/>
          <w:sz w:val="24"/>
          <w:szCs w:val="24"/>
        </w:rPr>
        <w:t xml:space="preserve"> Toplumsal yaşamda insanların çoğunluğu haklarını ve çıkarlarını gözetme konusunda oldukça duyarlı olduğundan, ideolojilerin de bu hak ve çıkarları anlamlandırmaya ve dolayısıyla ona yönelik edimleri geliştirmeye yönelik bir çerçeve sunduğu söylenebilir. Rasyonalist yaklaşımla ele alındığında güçlü örüntüsü olan bir dünya görüşü olarak değerlendirilebilecek olmakla birlikte, ideolojinin bir öznenin iktidar yapısının canlı bir versiyonu olduğu, duygulanımsal, bilinçdına ait ve simgesel tarafları da ihmal edilmemelidir. Bu canlılık aynı zamanda Dahası bu dünya görüşlerini rasyonel ve yansız olma niyetliyle açıklarken içeriğinin normatif veya etik açıdan doğruluğunun değerlendirilemeyeceği düşünülmemelidir. Güçlü örüntüler üzerine temelleri korulduğunu varsayabileceğimiz ideolojilerin pek çok doğruluğu ve tutarlı yanı olmakla birlikte toplumsal taraflılıkları nedeniyle zorunlu olarak çarpıtmaya başvurdukları da bir gerçektir. Çarpıtmalar bazen epistemik ya da işlevsel olabilirken bazen de ontolojiktir. Bu çarpıtmalar rasyonalizasyon, özdeşleştirme, dışlama, birleştirme, aldatma, önemsizleştirme, evrenselleştirme, istisnalaştırma, vurgulama gibi çeşitli söylemsel araçlarla yapılabilir.</w:t>
      </w:r>
      <w:r w:rsidRPr="00E97E0B">
        <w:rPr>
          <w:rFonts w:ascii="Times" w:eastAsia="Calibri" w:hAnsi="Times" w:cs="Times New Roman"/>
          <w:sz w:val="24"/>
          <w:szCs w:val="24"/>
          <w:vertAlign w:val="superscript"/>
        </w:rPr>
        <w:footnoteReference w:id="129"/>
      </w:r>
      <w:r w:rsidRPr="00E97E0B">
        <w:rPr>
          <w:rFonts w:ascii="Times" w:eastAsia="Calibri" w:hAnsi="Times" w:cs="Times New Roman"/>
          <w:sz w:val="24"/>
          <w:szCs w:val="24"/>
        </w:rPr>
        <w:t xml:space="preserve"> </w:t>
      </w:r>
    </w:p>
    <w:p w14:paraId="200CD3C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Bununla birlikte ideolojiler tamamen soyut dünyadan kopuk kapalı devre fikirler sistemi olarak varlıklarını sürdüremezler, toplumsal olaylar, sorunlar ve tecrübelerin etkilemesi çeşitli düzeylerde güncellemesi kaçınılmaz olduğundan ne tek ve tamamen bütünlüklü ne de birbirinden kopuk düşünceler kümesi olabilir. Bu nedenle tarihsel yanı bulunmaktadır ve bu tarihsellik onun çeşitlenmesini çeşitli dallara ve alt türlere ayrılmasını bu türlerin aralarındaki ince farkların da zaman içinde yer yer kesişmesini yer yer ayrışmasını beraberinde getirir. Bütün bunlar toplum içinde aynı zamanda çeşitli söylem kalıpları içinde toplumsal dolaşıma katılır ve etkilendiği gibi etki de eder. Bu şekilde ideolojinin toplumsal grupların, ilişkilerin ve bütün bir toplumun organizasyonunda önemli bir yeri bulunmakadır. Gündelik sosyal hayatta var olan pek çok unsurun ideolojik nitelik taşıyıp </w:t>
      </w:r>
      <w:r w:rsidRPr="00E97E0B">
        <w:rPr>
          <w:rFonts w:ascii="Times" w:eastAsia="Calibri" w:hAnsi="Times" w:cs="Times New Roman"/>
          <w:sz w:val="24"/>
          <w:szCs w:val="24"/>
        </w:rPr>
        <w:lastRenderedPageBreak/>
        <w:t xml:space="preserve">taşımadığı hakkında önemli bir ipucunun da onun toplumsal açıdan önemi olup olmadığıdır. </w:t>
      </w:r>
    </w:p>
    <w:p w14:paraId="27251252" w14:textId="77777777" w:rsidR="002858AE" w:rsidRPr="00E97E0B" w:rsidRDefault="002858AE" w:rsidP="002B7FA9">
      <w:pPr>
        <w:pStyle w:val="Heading4"/>
      </w:pPr>
      <w:bookmarkStart w:id="66" w:name="_Toc141133070"/>
      <w:r w:rsidRPr="00E97E0B">
        <w:t>2.3.1.4. İdeolojik Söylem Yapıları</w:t>
      </w:r>
      <w:bookmarkEnd w:id="66"/>
      <w:r w:rsidRPr="00E97E0B">
        <w:t xml:space="preserve"> </w:t>
      </w:r>
    </w:p>
    <w:p w14:paraId="543CA0E4"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Araştırmada şimdiye kadar bahsi geçen söylem ve söylem analizine dair teorik çerçeveden ve tecrübelerden mümkün olduğunca yararlanarak analiz yapılmaya çalışılacak da olsa analizin biçimine dair biraz daha detay verebilmek amacıyla çoğunlukla Van Dijk’ın bilişsel sosyolojik yaklaşımından yararlanacağımız ideolojik söylem yapılarından bahsetmeyi gerekli gördüm. Küreselleşmenin önkoşul olduğu bir uluslararası siyasi düzende temel olarak neredeyse tüm siyasi partilerin fakat özellikle de hükümetleri oluşturan siyasi partilerin hem iç politikaya hem de dış politikaya dair gündemleri oldukça yoğundur. Bu nedenle de hem kendilerini hükümette tutacak taban desteğini iç politikada memnun ederek daim kılma ihtiyaçları hem de uluslararası sistemde kazançlı çıkarak, kayıpları asgariye indirerek veya kazançlı çıkmış görünerek yine tabanlarının memnuniyet düzeyini düşürmeme ihtiyaçları mevcuttur. Bu ihtiyaçlarını yalnızca yaptıkları ve yapmadıkları ya da yapamadıkları ve yapabildikleri icraatlara borçlu değillerdir. Siyasal erki elinde tutanlar aynı zamanda meşruiyetlerini ve arkalarındaki desteği kaybetmemek için </w:t>
      </w:r>
      <w:r w:rsidRPr="00E97E0B">
        <w:rPr>
          <w:rFonts w:ascii="Times" w:eastAsia="Calibri" w:hAnsi="Times" w:cs="Times New Roman"/>
          <w:i/>
          <w:iCs/>
          <w:sz w:val="24"/>
          <w:szCs w:val="24"/>
        </w:rPr>
        <w:t xml:space="preserve">icraatlarını anlatmak </w:t>
      </w:r>
      <w:r w:rsidRPr="00E97E0B">
        <w:rPr>
          <w:rFonts w:ascii="Times" w:eastAsia="Calibri" w:hAnsi="Times" w:cs="Times New Roman"/>
          <w:sz w:val="24"/>
          <w:szCs w:val="24"/>
        </w:rPr>
        <w:t xml:space="preserve">durumundadırlar. Bunu yapmak ise önemli bir stratejik hazırlık ve çalışma gerektirmektedir. Bu çerçevede tüm partiler gibi iktidar partileri için de can alıcı hususlardan biri seçmen topluluğunun ortak çıkarları olduğu fikrini ve hissiyatını canlı tutma ihtiyacıdır ki icraatlarının o topluluğa hitap etmesi mümkün olabilsin. Bunu sürdürmenin anahtarı ise belirli bir kimlik oluşturmak veya halihazırdaki kimliği sosyal etkileşimin içinde kendi lehine dönüştürmeyi sürdürmektir. İşte bu nedenle seçmenin kimliğini dönüştüren ve tekrar tekrar inşa eden söylemin ne tür bilişsel araçları kullanıma soktuğunu anlamaya çalışacağım. </w:t>
      </w:r>
    </w:p>
    <w:p w14:paraId="34F52126"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İdeolojinin ve ideolojiye dayalı kimlik konumlandırmalarının söylemde ortaya çıktığı savına dayanarak söylem yapılarını çözümlemek için Van Dijk’ın önerdiği pratik genel stratejiye değinmek gerekecektir. Bu stratejik unsurlara değinecek olursak; üyelik, etknlikler, amaçlar, kurallar, ilişkiler ve kaynaklardan bahsetmemiz gerekecektir. Üyelik kavramı aynı zamanda kimliğe tekabül eden </w:t>
      </w:r>
      <w:r w:rsidRPr="00E97E0B">
        <w:rPr>
          <w:rFonts w:ascii="Times" w:eastAsia="Calibri" w:hAnsi="Times" w:cs="Times New Roman"/>
          <w:sz w:val="24"/>
          <w:szCs w:val="24"/>
        </w:rPr>
        <w:lastRenderedPageBreak/>
        <w:t>kimlerin hangi grupta veya bir grubun hangi katmanında yer aldığına işaret eder, gruba yakınlığı kabul edilebilirliği de burada işlenir. Etkinlikler ise yapılan ve yapılması beklenenlere işaret eder. O üyeliğin gerekliliklerini veya doğrudan gerektirimlerini kasteder. Amaçlar farkında olunan niyetlere işaret ederken kurallar hangi eylemin veya tavrın kabul edilir veya edilmez olduğuna ilişkiler diğer gruplarla mukayese edildiğinde onların sahip olduğu konuma ve kendi konumuna işaret eder. Kaynaklar ise imkanların, yapılması mümkün olan ve olmayanların sınırını tespit eder. Bu genel yapıları ise birkaç farklı strateji ile kurgulayarak sunmak genel olarak başvurulan yöntemdir. Bu sunma biçimlerinden ilki “biz” grubunu olumlamak “onlar” grubunu olumsuzlamaktır, bir diğeri bu karşıtlık ilişkisi içinde tanımlanan iki grubu da olumlamamaktır. Bir diğeri ise “biz” için olumlu olarak kullanabilecek vurguları yapıp olumsuz olanları vurgulamadan tam tersini karşı grup için yaparak olumsuzlukları vurgulamaktır.</w:t>
      </w:r>
      <w:r w:rsidRPr="00E97E0B">
        <w:rPr>
          <w:rFonts w:ascii="Times" w:eastAsia="Calibri" w:hAnsi="Times" w:cs="Times New Roman"/>
          <w:sz w:val="24"/>
          <w:szCs w:val="24"/>
          <w:vertAlign w:val="superscript"/>
        </w:rPr>
        <w:footnoteReference w:id="130"/>
      </w:r>
      <w:r w:rsidRPr="00E97E0B">
        <w:rPr>
          <w:rFonts w:ascii="Times" w:eastAsia="Calibri" w:hAnsi="Times" w:cs="Times New Roman"/>
          <w:sz w:val="24"/>
          <w:szCs w:val="24"/>
        </w:rPr>
        <w:t xml:space="preserve"> Ancak bu tür vurgular çok daha karmaşık ve detaylı şekilde yapılabildiği gibi bazen de açık ve kolaylıkla tespit edilebilir şekilde yapılmaktadır. </w:t>
      </w:r>
    </w:p>
    <w:p w14:paraId="065BFAFA" w14:textId="51555224" w:rsidR="002825DB" w:rsidRPr="00E97E0B" w:rsidRDefault="002858AE" w:rsidP="00342A1A">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Bahsedilen bu sunum biçimleri en temel yöntemlere vurgu yapmakla birlikte pek çok karmaşık versiyonu metne yerleştirilebilir. Söylem düzeyi olarak tanımlanan kategori ise içerisinde var olan başlıca düzeyler ise; anlam, konu, tanım düzeyi ve ayrıntı derecesi, yerel tutarlılık, eşanlamlılık yeniden anlatım, karşıtlık, örnek ve açıklamalar, yadsıma ifadeleri, önerme yapıları, aktörler, kiplik, kanıtsallık, dolaylı konuşma ve anlaşılmazlık, geleneksel temalar (topoi), resmi yapılar, tümce dizimi, söylem biçimleri, uslamlama (argumentation), retorik, eylem ve etkileşim olarak Van Dijk tarafından sınıflandırılır.</w:t>
      </w:r>
      <w:r w:rsidRPr="00E97E0B">
        <w:rPr>
          <w:rFonts w:ascii="Times" w:eastAsia="Calibri" w:hAnsi="Times" w:cs="Times New Roman"/>
          <w:sz w:val="24"/>
          <w:szCs w:val="24"/>
          <w:vertAlign w:val="superscript"/>
        </w:rPr>
        <w:footnoteReference w:id="131"/>
      </w:r>
      <w:r w:rsidRPr="00E97E0B">
        <w:rPr>
          <w:rFonts w:ascii="Times" w:eastAsia="Calibri" w:hAnsi="Times" w:cs="Times New Roman"/>
          <w:sz w:val="24"/>
          <w:szCs w:val="24"/>
        </w:rPr>
        <w:t xml:space="preserve"> Bu kavramları biraz açmak yerinde olacaktır. Bu nedenle söylem düzeyiyle ilgili olarak kısaca bu başlıkların içeriklerine değinilecektir.</w:t>
      </w:r>
    </w:p>
    <w:p w14:paraId="44AC4615" w14:textId="26F0FE64" w:rsidR="002825DB" w:rsidRPr="00E97E0B" w:rsidRDefault="002858AE" w:rsidP="002825DB">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Anlam</w:t>
      </w:r>
    </w:p>
    <w:p w14:paraId="058AD16A" w14:textId="5785D795" w:rsidR="002858AE" w:rsidRPr="00E97E0B" w:rsidRDefault="002858AE" w:rsidP="002825DB">
      <w:pPr>
        <w:spacing w:before="120" w:after="120" w:line="360" w:lineRule="auto"/>
        <w:ind w:firstLine="708"/>
        <w:jc w:val="both"/>
        <w:rPr>
          <w:rFonts w:ascii="Times" w:eastAsia="Calibri" w:hAnsi="Times" w:cs="Times New Roman"/>
          <w:i/>
          <w:iCs/>
          <w:sz w:val="24"/>
          <w:szCs w:val="24"/>
        </w:rPr>
      </w:pPr>
      <w:r w:rsidRPr="00E97E0B">
        <w:rPr>
          <w:rFonts w:ascii="Times" w:eastAsia="Calibri" w:hAnsi="Times" w:cs="Times New Roman"/>
          <w:sz w:val="24"/>
          <w:szCs w:val="24"/>
        </w:rPr>
        <w:t xml:space="preserve">Söylemde taranan anlam üzerinde durulması gerekir, zira anlam söylemin her yerinde ortaya çıkabileceğinden ve pek çok farklı yönleri ihtiva ettiğinden bu </w:t>
      </w:r>
      <w:r w:rsidRPr="00E97E0B">
        <w:rPr>
          <w:rFonts w:ascii="Times" w:eastAsia="Calibri" w:hAnsi="Times" w:cs="Times New Roman"/>
          <w:sz w:val="24"/>
          <w:szCs w:val="24"/>
        </w:rPr>
        <w:lastRenderedPageBreak/>
        <w:t xml:space="preserve">karmaşadan olabildiğince seçici olunması durumunda anlaşılır ve sistematik bir bilgi elde edilebilir. </w:t>
      </w:r>
    </w:p>
    <w:p w14:paraId="399080F6"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Konular</w:t>
      </w:r>
    </w:p>
    <w:p w14:paraId="45476AB1" w14:textId="6C965D1B" w:rsidR="006211E3" w:rsidRPr="00E97E0B" w:rsidRDefault="002858AE" w:rsidP="00AB70E9">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Konu söylem incelenmesi sırasında en çok vurgulanan ve yönlendirme yapılan sonuçla bağlantılıdır ve söylemin neyle alakalı olduğu hususunda bilgi verirler. Hangi bilginin hangi sırayla verildiği nelerin öne çıkarıldığı önemlidir.</w:t>
      </w:r>
    </w:p>
    <w:p w14:paraId="3D9645B0"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Tanım Düzeyi ve Ayrıntı Derecesi</w:t>
      </w:r>
    </w:p>
    <w:p w14:paraId="48FC3532"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Metinlerin içerdiği tanımların hangi ölçüde detaylandırıldığı ve nasıl yapıldığının analizi söylem hakkında önemli bilgiler verir. Genel düzeyde mi özel düzeyde mi tanımın yapıldığı vurgunun nerelere yapılmak istediği hakkında bilgi verir. Hangi kimliğin (biz veya onlar) hatalarının vurgulandığı hangi kimliğin iyi yanlarının öne çıkarıldığı veya muğlak bırakıldığı bu düzeyde anlaşılmaya çalışılır. </w:t>
      </w:r>
    </w:p>
    <w:p w14:paraId="0E91AB37"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İmalar ve Önvarsayımlar</w:t>
      </w:r>
    </w:p>
    <w:p w14:paraId="3D23F06C" w14:textId="77777777" w:rsidR="00810886" w:rsidRDefault="002858AE" w:rsidP="00810886">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İma içeren anlamlar muhatap kitlenin önceden var kabul ettiği veya sahip olduğu bilgi birikimi ve biçimine gönderme yaparlar. Bilgiyi eklentisiyle açıkça ifade etmeme veya açık bırakma bilgiyi tartışmaya açmayı engellemeye yönelik stratejik bir tercihi de içermektedir. </w:t>
      </w:r>
    </w:p>
    <w:p w14:paraId="1DB0EF18" w14:textId="7B851FDA" w:rsidR="002858AE" w:rsidRPr="00E97E0B" w:rsidRDefault="002858AE" w:rsidP="00810886">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Yerel Tutarlılık</w:t>
      </w:r>
    </w:p>
    <w:p w14:paraId="0B67EA57" w14:textId="7AE7A7E9" w:rsidR="002825DB" w:rsidRPr="00E97E0B" w:rsidRDefault="002858AE" w:rsidP="002858AE">
      <w:pPr>
        <w:spacing w:before="120" w:after="120" w:line="360" w:lineRule="auto"/>
        <w:jc w:val="both"/>
        <w:rPr>
          <w:rFonts w:ascii="Times" w:eastAsia="Calibri" w:hAnsi="Times" w:cs="Times New Roman"/>
          <w:sz w:val="24"/>
          <w:szCs w:val="24"/>
        </w:rPr>
      </w:pPr>
      <w:r w:rsidRPr="00E97E0B">
        <w:rPr>
          <w:rFonts w:ascii="Times" w:eastAsia="Calibri" w:hAnsi="Times" w:cs="Times New Roman"/>
          <w:sz w:val="24"/>
          <w:szCs w:val="24"/>
        </w:rPr>
        <w:tab/>
        <w:t>Metin içindeki ve metnin üreticisinin ideolojik arkaplanı göz önünde bulundurularak metnin iç tutarlığı incelenir. Önermeler arasındaki ilişkilerin de incelemeye tâbî olduğu söylem düzeyinde işlevsel tutarlılık şeklinde tabir edilen düzeyde ise özgünleştirme, genelleme, karşıtlık veya örnek olma üzerinden ifadelerin birbirlerine göre hangi durumda olduğu üzerine durulur.</w:t>
      </w:r>
    </w:p>
    <w:p w14:paraId="1D0E0E2F" w14:textId="725D969D"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Eşanlamlılık ve Yeniden Anlatım</w:t>
      </w:r>
    </w:p>
    <w:p w14:paraId="3F42D932" w14:textId="77777777" w:rsidR="002858AE" w:rsidRPr="00E97E0B" w:rsidRDefault="002858AE" w:rsidP="002858AE">
      <w:pPr>
        <w:spacing w:before="120" w:after="120" w:line="360" w:lineRule="auto"/>
        <w:jc w:val="both"/>
        <w:rPr>
          <w:rFonts w:ascii="Times" w:eastAsia="Calibri" w:hAnsi="Times" w:cs="Times New Roman"/>
          <w:sz w:val="24"/>
          <w:szCs w:val="24"/>
        </w:rPr>
      </w:pPr>
      <w:r w:rsidRPr="00E97E0B">
        <w:rPr>
          <w:rFonts w:ascii="Times" w:eastAsia="Calibri" w:hAnsi="Times" w:cs="Times New Roman"/>
          <w:sz w:val="24"/>
          <w:szCs w:val="24"/>
        </w:rPr>
        <w:tab/>
        <w:t xml:space="preserve">Önermeler arası ilişkiler açısından tanımlanan eşanlamlılık ve yeniden anlatım farklı bir şekilde tanımlanmadan kullanıldığından aslında ideolojinin onları şekillendirdiği ilk bakışta görünmez hatta farklı ideolojilerin mensupları bir kavramın eşanlamının tek olduğunu kabul eder ancak eşanlamlılıklar da yeniden anlatımlar da katı ve sabit değildir. Benzer anlamı içerse de benzer anlamlı kelimelerin kullanımı bağlama da dayanmak suretiyle çeşitli nüanslarla kullanır ve </w:t>
      </w:r>
      <w:r w:rsidRPr="00E97E0B">
        <w:rPr>
          <w:rFonts w:ascii="Times" w:eastAsia="Calibri" w:hAnsi="Times" w:cs="Times New Roman"/>
          <w:sz w:val="24"/>
          <w:szCs w:val="24"/>
        </w:rPr>
        <w:lastRenderedPageBreak/>
        <w:t xml:space="preserve">yeniden ifade edilebilirler. Kavram ve tanımların içinin nüans seviyesinde değiştirilmesi sıklıkla görülür. </w:t>
      </w:r>
    </w:p>
    <w:p w14:paraId="02932EE1"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Karşıtlık</w:t>
      </w:r>
    </w:p>
    <w:p w14:paraId="637A2DCD"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Karşıtlık tarafların çıkar ve egemenlik mücadelesi içinde olmalarından doğan durumun söyleme yansıdığı düzeydir. Özellikle zamir kullanımıyla görünüme kavuşur. </w:t>
      </w:r>
    </w:p>
    <w:p w14:paraId="613BF6ED"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Örnekler ve Açıklamalar</w:t>
      </w:r>
    </w:p>
    <w:p w14:paraId="1E7CB453" w14:textId="608F84FF" w:rsidR="00AB70E9" w:rsidRPr="00E97E0B" w:rsidRDefault="002858AE" w:rsidP="002825DB">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Önermeleri desteklemek için kullanılan olay, konu, örnek, anlatı gibi metne dahil edilen öğelerdir. Deneyimsel kanıt sağlama yoluyla savların ve söylemin perçinlenmesi amacına hizmet eden düzeydir.</w:t>
      </w:r>
    </w:p>
    <w:p w14:paraId="535EF409" w14:textId="5F7ECC9E"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Yadsıma İfadeleri</w:t>
      </w:r>
    </w:p>
    <w:p w14:paraId="7CC4E006"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Önyargılı söylemin en çok başvurduğu tarzlardan bir tanesi de inandırıcılığı artırmak amacıyla başvurulan yadsımadır. İfadelerin içine yerleştirilen bazı önlem alıcı ifadeler açıkça olumsuz algılanma ve karşı çıkılma ihtimali görülen ifadeleri bir çeşit muhafaza ederek sözde olumsuzluk yaratmaktadır. Göçmen karşıtı bir söylemi kullanıma sokarken önermenin başına “Göçmenlere karşı değilim ama…” ifadesini eklemek bu tür bir ifadeye örnektir.</w:t>
      </w:r>
    </w:p>
    <w:p w14:paraId="27D32F75"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 xml:space="preserve">Önerme Yapıları </w:t>
      </w:r>
    </w:p>
    <w:p w14:paraId="558FC710" w14:textId="242191BA" w:rsidR="002825DB" w:rsidRPr="00E97E0B" w:rsidRDefault="002858AE" w:rsidP="00342A1A">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Önerme yapıları ideolojik niteliği tarttığımız metinlerdeki </w:t>
      </w:r>
      <w:r w:rsidRPr="00E97E0B">
        <w:rPr>
          <w:rFonts w:ascii="Times" w:eastAsia="Calibri" w:hAnsi="Times" w:cs="Times New Roman"/>
          <w:i/>
          <w:iCs/>
          <w:sz w:val="24"/>
          <w:szCs w:val="24"/>
        </w:rPr>
        <w:t>yüklem</w:t>
      </w:r>
      <w:r w:rsidRPr="00E97E0B">
        <w:rPr>
          <w:rFonts w:ascii="Times" w:eastAsia="Calibri" w:hAnsi="Times" w:cs="Times New Roman"/>
          <w:sz w:val="24"/>
          <w:szCs w:val="24"/>
        </w:rPr>
        <w:t>e odaklanarak onlar hakkındaki en basit haliyle olumlu veya olumsuz temsilleri bulmayı amaçlamaktadır.</w:t>
      </w:r>
    </w:p>
    <w:p w14:paraId="32A37726" w14:textId="7CEE1B0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Aktörler</w:t>
      </w:r>
    </w:p>
    <w:p w14:paraId="441EB75C"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 İdeolojik söylemde iç ve dış grup olan </w:t>
      </w:r>
      <w:r w:rsidRPr="00E97E0B">
        <w:rPr>
          <w:rFonts w:ascii="Times" w:eastAsia="Calibri" w:hAnsi="Times" w:cs="Times New Roman"/>
          <w:i/>
          <w:iCs/>
          <w:sz w:val="24"/>
          <w:szCs w:val="24"/>
        </w:rPr>
        <w:t>biz</w:t>
      </w:r>
      <w:r w:rsidRPr="00E97E0B">
        <w:rPr>
          <w:rFonts w:ascii="Times" w:eastAsia="Calibri" w:hAnsi="Times" w:cs="Times New Roman"/>
          <w:sz w:val="24"/>
          <w:szCs w:val="24"/>
        </w:rPr>
        <w:t xml:space="preserve"> ve </w:t>
      </w:r>
      <w:r w:rsidRPr="00E97E0B">
        <w:rPr>
          <w:rFonts w:ascii="Times" w:eastAsia="Calibri" w:hAnsi="Times" w:cs="Times New Roman"/>
          <w:i/>
          <w:iCs/>
          <w:sz w:val="24"/>
          <w:szCs w:val="24"/>
        </w:rPr>
        <w:t xml:space="preserve">onlar </w:t>
      </w:r>
      <w:r w:rsidRPr="00E97E0B">
        <w:rPr>
          <w:rFonts w:ascii="Times" w:eastAsia="Calibri" w:hAnsi="Times" w:cs="Times New Roman"/>
          <w:sz w:val="24"/>
          <w:szCs w:val="24"/>
        </w:rPr>
        <w:t>esas zamirler olduğundan ve bu zamirlerin eylemlerinin tasvirine odaklanıldığından faillerin ve fiillerinin hangi biçimlerde sunulduğu üzerinde durulur.</w:t>
      </w:r>
    </w:p>
    <w:p w14:paraId="696D13FE"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Kiplik</w:t>
      </w:r>
    </w:p>
    <w:p w14:paraId="18A4F3BB"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Çevreyi, dünyayı olay ve olguları temsil etme biçimini anlamak bakımından kullanılan kipliklerin olayları hangi çerçeveye oturttuğuna dikkat çekilir. </w:t>
      </w:r>
    </w:p>
    <w:p w14:paraId="0B271B76"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Kanıtsallık</w:t>
      </w:r>
    </w:p>
    <w:p w14:paraId="76553F20"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Konuşmacıların sözlerine dayanak olarak kullanacakları kanıt sunmaları veya düşünce ve inançlarına zıt görüşten olanlarla diyaloğa girmeleri beklentisi her zaman vardır. Bu nedenle de bağlamın ve muhatap kitlenin kültür ve anlayışına göre geçerlilik düzeyi değişse de çeşitli kanıt sunma biçimleri mevcuttur. </w:t>
      </w:r>
    </w:p>
    <w:p w14:paraId="3F63B6D8"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Dolaylı Konuma ve Anlaşılmazlık</w:t>
      </w:r>
    </w:p>
    <w:p w14:paraId="6F6A5EFF"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Konuşmada konuşmacı tarafı zora düşürebilecek durumları örneğin bilgisinin yeterli olmadığı veya açık konuşması durumunda zor duruma düşeceği durumlarda dolaylı ifadeye veya konuşmanın içeriğini muğlaklaştırmayı tercih etmesi söz konusudur.</w:t>
      </w:r>
    </w:p>
    <w:p w14:paraId="5ECB575E"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Geleneksel Temalar (Topoi)</w:t>
      </w:r>
    </w:p>
    <w:p w14:paraId="39E39F5E" w14:textId="7E66D616"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Semantik ile retorik arasında konumlandırılan geleneksel temalar tartışmaların basmakalıp hale gelmiş malum konularıdır. Bunlar aynı zamanda kalıp söz haline de gelen konular olabilir. Örneğin “Göçmenler ülke ekonomisi için yük teşkil ediyorlar” veya tam tersi bir yönde dile getirilen “Göçmenler ülke ekonomisine büyük katkıda bulunuyorlar” şeklindeki basmakalıp ifadeler uslamlama yapılırken temel kıstaslar olarak işlev görmektedirler. Ayrıca bu türden savlar standart hale gelmiş olduğundan fazlaca detaylandırılarak savunmaya gerek duyulmayan bir özelliğe sahiptir. </w:t>
      </w:r>
    </w:p>
    <w:p w14:paraId="6C65BA67"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Resmi Yapılar</w:t>
      </w:r>
    </w:p>
    <w:p w14:paraId="27D0D1C5" w14:textId="744B2CCD" w:rsidR="002858AE" w:rsidRPr="00E97E0B" w:rsidRDefault="002858AE" w:rsidP="006A073C">
      <w:pPr>
        <w:spacing w:before="120" w:after="120" w:line="360" w:lineRule="auto"/>
        <w:ind w:firstLine="708"/>
        <w:jc w:val="both"/>
        <w:rPr>
          <w:rFonts w:ascii="Times" w:eastAsia="Calibri" w:hAnsi="Times" w:cs="Times New Roman"/>
          <w:i/>
          <w:iCs/>
          <w:sz w:val="24"/>
          <w:szCs w:val="24"/>
        </w:rPr>
      </w:pPr>
      <w:r w:rsidRPr="00E97E0B">
        <w:rPr>
          <w:rFonts w:ascii="Times" w:eastAsia="Calibri" w:hAnsi="Times" w:cs="Times New Roman"/>
          <w:sz w:val="24"/>
          <w:szCs w:val="24"/>
        </w:rPr>
        <w:t xml:space="preserve">İçeriğin, ideolojinin ve anlamın en anlaşılır şekilde ifade edildiği söyle düzeyi olarak karşımıza çıkar. Model, temsil gibi unsurların, özel ve genel önermelerin en doğrudan sergilenebildiği söylem düzeyi olarak görülür. Diğer taraftan dolaylı ve incelikli bir biçimde ideolojiler metni ve resmi yapıların biçimi, içeriklerin sırası gibi incelikli seçimlerde fark edilebilir. </w:t>
      </w:r>
      <w:r w:rsidRPr="00E97E0B">
        <w:rPr>
          <w:rFonts w:ascii="Times" w:eastAsia="Calibri" w:hAnsi="Times" w:cs="Times New Roman"/>
          <w:i/>
          <w:iCs/>
          <w:sz w:val="24"/>
          <w:szCs w:val="24"/>
        </w:rPr>
        <w:t>Cümle Dizimi</w:t>
      </w:r>
    </w:p>
    <w:p w14:paraId="110C467D"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Cümle yapısı gramer kurallarına bağı olduğundan söyleme göre içinde gerçekleşen değişiklikler kısıtlı da olsa cümle yapısındaki vurguya göre ve etkenlik ve edilgenlikle ilgili değişiklikler önermelerde verilen bilgilerin arasında bir önem sıralamasına neden olur.</w:t>
      </w:r>
    </w:p>
    <w:p w14:paraId="1EF8EDAC"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Söylem Biçimleri</w:t>
      </w:r>
    </w:p>
    <w:p w14:paraId="4EC2A52B"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lastRenderedPageBreak/>
        <w:t>İç grupla ilgili olumlu anlamların metin içinde öncelenmesi aksi durumların veya dış grupla ilgili olumlu durumların sonralandığı metinlerde tespit edilemektedir. Söylem biçimleri terimi metinde nelerin öncelenerek metnin geri kalanında hâkim düşünce yaratıldığıyla ilgilidir.</w:t>
      </w:r>
    </w:p>
    <w:p w14:paraId="1C47399E"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Uslamlama</w:t>
      </w:r>
    </w:p>
    <w:p w14:paraId="405C75B0" w14:textId="77777777" w:rsidR="00342A1A" w:rsidRPr="00E97E0B" w:rsidRDefault="002858AE" w:rsidP="00342A1A">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Uslamlama birden fazla görüşün karşı karşıya geldiği tartışımsal söylemi içerir. Uslamlama yapılırken kendi tarafının görüşünü güçlendirmek için kendi bakış açısını ikna olunur ve gerçeğe uygun kılmaya çalışılır. Uslamlama yapısında ideolojinin kendisini tespit etmek pek mümkün değildir zira ideoloji, uslamlamanın içeriğinde saptanabilir bir niteliktedir. Uslamlamanın yapılmasını temin eden etkileşim ilkeleri ve uslamlama ilkeleri her türlü dünya görüşünün kabul edeni tarafından potansiyel olarak çiğnenebilir ve safsata ile sabote edilebilir. Savlar ve sonuç veya bakış açısı ve savlar söylemde en sık ortaya çıkan iki ana kategori olarak metinde ortaya çıkan sıralama biçimleridir. Yani genelde metin içinde ya önce savlar ve ardından varılan sonuç baskın bir şekilde görülür ya da metni üretenin/konuşucunun önce bakış açısı ortaya koyulup ardından savlarla desteklenir.</w:t>
      </w:r>
    </w:p>
    <w:p w14:paraId="2CFC6BAE" w14:textId="589AA944" w:rsidR="002858AE" w:rsidRPr="00E97E0B" w:rsidRDefault="002858AE" w:rsidP="00342A1A">
      <w:pPr>
        <w:spacing w:before="120" w:after="120" w:line="360" w:lineRule="auto"/>
        <w:jc w:val="both"/>
        <w:rPr>
          <w:rFonts w:ascii="Times" w:eastAsia="Calibri" w:hAnsi="Times" w:cs="Times New Roman"/>
          <w:sz w:val="24"/>
          <w:szCs w:val="24"/>
        </w:rPr>
      </w:pPr>
      <w:r w:rsidRPr="00E97E0B">
        <w:rPr>
          <w:rFonts w:ascii="Times" w:eastAsia="Calibri" w:hAnsi="Times" w:cs="Times New Roman"/>
          <w:i/>
          <w:iCs/>
          <w:sz w:val="24"/>
          <w:szCs w:val="24"/>
        </w:rPr>
        <w:t>Retorik</w:t>
      </w:r>
    </w:p>
    <w:p w14:paraId="6ABBB246"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Farklı grup ve kimlikleri klasik retoriğin yapısından ziyade anlamı içeriği ve bilişi içeren kısmı pozitif veya negatif olarak tanımlar. Metaforlar, ironiler, örtmeceler gibi üslup figürlerinin ideolojik olarak farklılaştığını söylemek pek mümkün değildir. </w:t>
      </w:r>
    </w:p>
    <w:p w14:paraId="3DB30CE2" w14:textId="77777777" w:rsidR="002858AE" w:rsidRPr="00E97E0B" w:rsidRDefault="002858AE" w:rsidP="002858AE">
      <w:pPr>
        <w:spacing w:before="120" w:after="120" w:line="360" w:lineRule="auto"/>
        <w:jc w:val="both"/>
        <w:rPr>
          <w:rFonts w:ascii="Times" w:eastAsia="Calibri" w:hAnsi="Times" w:cs="Times New Roman"/>
          <w:i/>
          <w:iCs/>
          <w:sz w:val="24"/>
          <w:szCs w:val="24"/>
        </w:rPr>
      </w:pPr>
      <w:r w:rsidRPr="00E97E0B">
        <w:rPr>
          <w:rFonts w:ascii="Times" w:eastAsia="Calibri" w:hAnsi="Times" w:cs="Times New Roman"/>
          <w:i/>
          <w:iCs/>
          <w:sz w:val="24"/>
          <w:szCs w:val="24"/>
        </w:rPr>
        <w:t>Eylem ve Etkileşim</w:t>
      </w:r>
    </w:p>
    <w:p w14:paraId="190211B2"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Eylem ve etkileşim, anlam ve biçimden sonra söylemi oluşturan ve toplumsal özelliği ağır basan unsurdur. Bu unsurla söylem bağlamına göre üretildikleri yer ve anda bir söz edimini gerçekleştirirler. Bir talepte bulunma, soru sorma, tehdit etme, söz verme gibi eylemler edimlere örnek gösterilebilir. Aynı şekilde güçlü ya da egemen olanın, güçlü ve egemen olduğu yerde ayrımcılık yapma, meşrulaştırmama, karalama, aşağılama, marjinalleştirme gibi edimleri ortaya çıkar ancak bunlar ideolojik anlayış ve konuma has bir durum değil egemen olmakla ilgilidir. İdeoloji ise içerikte ortaya çıkmaktadır. </w:t>
      </w:r>
    </w:p>
    <w:p w14:paraId="7F6D9A19" w14:textId="77777777" w:rsidR="002858AE" w:rsidRPr="00E97E0B" w:rsidRDefault="002858AE" w:rsidP="002B7FA9">
      <w:pPr>
        <w:pStyle w:val="Heading4"/>
      </w:pPr>
      <w:bookmarkStart w:id="68" w:name="_Toc141133071"/>
      <w:r w:rsidRPr="00E97E0B">
        <w:lastRenderedPageBreak/>
        <w:t>2.3.1.5. İdeolojik Söylem Çözümleme Kategorileri</w:t>
      </w:r>
      <w:bookmarkEnd w:id="68"/>
      <w:r w:rsidRPr="00E97E0B">
        <w:t xml:space="preserve"> </w:t>
      </w:r>
    </w:p>
    <w:p w14:paraId="2ABDB961" w14:textId="05D6993F"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İdeolojik söylem çözümleme kategorileri ideolojik söylem yapıları içinde oluşan çözümleme kategorileridir. Van Dijk bu söylem çözümleme kategorileri demin bahsi e</w:t>
      </w:r>
      <w:r w:rsidR="00106D6C" w:rsidRPr="00E97E0B">
        <w:rPr>
          <w:rFonts w:ascii="Times" w:eastAsia="Calibri" w:hAnsi="Times" w:cs="Times New Roman"/>
          <w:sz w:val="24"/>
          <w:szCs w:val="24"/>
        </w:rPr>
        <w:t>dilen</w:t>
      </w:r>
      <w:r w:rsidRPr="00E97E0B">
        <w:rPr>
          <w:rFonts w:ascii="Times" w:eastAsia="Calibri" w:hAnsi="Times" w:cs="Times New Roman"/>
          <w:sz w:val="24"/>
          <w:szCs w:val="24"/>
        </w:rPr>
        <w:t xml:space="preserve"> söylem yapılarını içerecek şekilde değerlendirmektedir. Örneğin verdiği kategorilerden olan Aktör Tanımı, anlama dair bir çözüleme kategorisiyken Otorite, uslamlamayı içeren bir kategoridir. Bu haliyle, değindiğimiz çalışmasına istinaden bazı kategorileri sıklıkla başvurulacaktır. Bunlardan bazıları şu şekildedir: </w:t>
      </w:r>
      <w:bookmarkStart w:id="69" w:name="_Hlk140234873"/>
      <w:r w:rsidRPr="00E97E0B">
        <w:rPr>
          <w:rFonts w:ascii="Times" w:eastAsia="Calibri" w:hAnsi="Times" w:cs="Times New Roman"/>
          <w:sz w:val="24"/>
          <w:szCs w:val="24"/>
        </w:rPr>
        <w:t>Aktör Tanımı (Anlam), Yük (Geleneksel Tema), Sınıflandırma (Anlam), Karşılaştırma (Anlam, Uslamlama), Karşıgerçeklik (Anlam, Uslamlama), Yadsıma İfadeleri (Anlam), Mesafe Koyma (Anlam), Dramatikleştirme (Retorik), Örnek/Örneklerle Açıklama (Uslamlama), Açıklama (Anlam, Uslamlama), Mantıksızlıklar (Anlam, Uslamlama), Ders Olarak Tarih (Geleneksel Tema), Genelle(ştir)me (Anlam, Uslamlama), Örtüklük /İma (Anlam), Abartma (Retorik), Kutuplaşma Biz/Onlar Sınıflandırması (Anlam), Popülizm (Politik Strateji), Mantıklı olma (Uslamlama), Yineleme (Retorik), Durum Tanımlaması (Anlam), Kurbanlaştırma (Anlam), Ulusal Övünç (Anlam), Olumsuz Ötekini Sunma (Semantik Makro Strateji)</w:t>
      </w:r>
      <w:bookmarkEnd w:id="69"/>
      <w:r w:rsidRPr="00E97E0B">
        <w:rPr>
          <w:rFonts w:ascii="Times" w:eastAsia="Calibri" w:hAnsi="Times" w:cs="Times New Roman"/>
          <w:sz w:val="24"/>
          <w:szCs w:val="24"/>
        </w:rPr>
        <w:t>.</w:t>
      </w:r>
      <w:r w:rsidRPr="00E97E0B">
        <w:rPr>
          <w:rFonts w:ascii="Times" w:eastAsia="Calibri" w:hAnsi="Times" w:cs="Times New Roman"/>
          <w:sz w:val="24"/>
          <w:szCs w:val="24"/>
          <w:vertAlign w:val="superscript"/>
        </w:rPr>
        <w:footnoteReference w:id="132"/>
      </w:r>
    </w:p>
    <w:p w14:paraId="4B7D814C" w14:textId="77777777" w:rsidR="002858AE" w:rsidRPr="00E97E0B" w:rsidRDefault="002858AE" w:rsidP="002B7FA9">
      <w:pPr>
        <w:pStyle w:val="Heading4"/>
      </w:pPr>
      <w:bookmarkStart w:id="70" w:name="_Toc141133072"/>
      <w:r w:rsidRPr="00E97E0B">
        <w:t>2.3.1.6. Postmodernizm ve İdeoloji</w:t>
      </w:r>
      <w:bookmarkEnd w:id="70"/>
      <w:r w:rsidRPr="00E97E0B">
        <w:t xml:space="preserve"> </w:t>
      </w:r>
    </w:p>
    <w:p w14:paraId="28D6304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Postmodernizm akımının temsil ettiği eserlerde ideoloji kavramından bahsedildiğine rastlamak pek mümkün değildir. Bunun nedeni olarak postmodernizmin aslında ideolojileri yok saydığı veya en azından geçersiz saydığı öne sürülebilir.</w:t>
      </w:r>
      <w:r w:rsidRPr="00E97E0B">
        <w:rPr>
          <w:rFonts w:ascii="Times" w:eastAsia="Calibri" w:hAnsi="Times" w:cs="Times New Roman"/>
          <w:sz w:val="24"/>
          <w:szCs w:val="24"/>
          <w:vertAlign w:val="superscript"/>
        </w:rPr>
        <w:footnoteReference w:id="133"/>
      </w:r>
      <w:r w:rsidRPr="00E97E0B">
        <w:rPr>
          <w:rFonts w:ascii="Times" w:eastAsia="Calibri" w:hAnsi="Times" w:cs="Times New Roman"/>
          <w:sz w:val="24"/>
          <w:szCs w:val="24"/>
        </w:rPr>
        <w:t xml:space="preserve"> Postmodernizmin ideoloji kavramının değerini düşürmek üzere üç temel üzerinden hareket ettiği söylenebilir. Bunların ilki görgül temsil fikrinin reddine dayanmaktadır. Bu yolla temsil fikrinin tehlikeye düşmesi de söz konusudur, zira temsili pratiklere dayandıramadığımızda temsili soyut anlamda savunmanın herhangi bir elle tutulur sonucu olmayacaktır. İkinci olarak bir şeyin “ideolojik” nitelikte olduğunu söylemenin aslında onun dışında “ideolojik” olmayan objektif bir gerçekliğin varlığını ima etmek anlamına gelmesinin sorunlu </w:t>
      </w:r>
      <w:r w:rsidRPr="00E97E0B">
        <w:rPr>
          <w:rFonts w:ascii="Times" w:eastAsia="Calibri" w:hAnsi="Times" w:cs="Times New Roman"/>
          <w:sz w:val="24"/>
          <w:szCs w:val="24"/>
        </w:rPr>
        <w:lastRenderedPageBreak/>
        <w:t>bir yaklaşım olarak görülmesidir. Zira bir şey ideolojik olarak nitelendirilebiliyorsa, ideolojik olmanın ötesinde mutlaklığa veya tarafsızlığa erişilebildiği de aynı durumda iddia ediliyor olabilecektir ki bunu söylemek pek kolay değildir. Üçüncüsü de Nietsche’nin yaklaşımına koşut olarak akılcılık, çıkar ve iktidar arasındaki ilişkinin gözden geçirilmesi bahsine dayanarak ideolojinin kavramsal gerekliliğinin sorgulanmasıdır.</w:t>
      </w:r>
      <w:r w:rsidRPr="00E97E0B">
        <w:rPr>
          <w:rFonts w:ascii="Times" w:eastAsia="Calibri" w:hAnsi="Times" w:cs="Times New Roman"/>
          <w:sz w:val="24"/>
          <w:szCs w:val="24"/>
          <w:vertAlign w:val="superscript"/>
        </w:rPr>
        <w:footnoteReference w:id="134"/>
      </w:r>
    </w:p>
    <w:p w14:paraId="3C05F9D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İdeoloji temelinde bir anlam sorunu olmakla birlikte kapitalizmin geç dönemlerindeki durumun bir anlamlı-olmama durumu olduğu çoğulcu postmodernist perspektif tarafından iddia edilir. Faydacılık ve teknik gelişmelerin ağırlık kazandığı geç kapitalist dönemde kullanım değeri değişim değerine tabi olduğundan toplumsal yaşam bir anlam sorunuyla karşı karşıya kalır. Bu düşünceye göre, tüketici perspektifi nedeniyle özne düşünce ile hareket etmek yerine bilinçaltı ve güdüleriyle hareket eden bir hal kazanır ve bunun sonucunda da anlam sorunu önemini yitirir ve diğer taraftan öznenin vasfı zayıflar. Bu tür bir yorum aynı zamanda derinlikli bir öznelliğin oluştuğunu da iddia eder. Ancak bu yorumun geçerliliği ancak kısmî düzeydedir.</w:t>
      </w:r>
      <w:r w:rsidRPr="00E97E0B">
        <w:rPr>
          <w:rFonts w:ascii="Times" w:eastAsia="Calibri" w:hAnsi="Times" w:cs="Times New Roman"/>
          <w:sz w:val="24"/>
          <w:szCs w:val="24"/>
          <w:vertAlign w:val="superscript"/>
        </w:rPr>
        <w:footnoteReference w:id="135"/>
      </w:r>
      <w:r w:rsidRPr="00E97E0B">
        <w:rPr>
          <w:rFonts w:ascii="Times" w:eastAsia="Calibri" w:hAnsi="Times" w:cs="Times New Roman"/>
          <w:sz w:val="24"/>
          <w:szCs w:val="24"/>
        </w:rPr>
        <w:t xml:space="preserve"> Diğer taraftan sinik postmodernist anlayış, bireylerin kendi retoriklerinin sebeplerini anlayıp bu nedenleri bildiği halde “uyanık” olduğu için görmezden gelmektedir. Peter Sloterdijk’ın aydınlanmış yanlış-bilinç olarak tanımladığı bu durumda toplum yaptığı ve söylediği arasındaki çelişkiyi görür ve fakat bunu rasyonalize eder ve bu şekilde eylem ve tavırlarını sürdürür. Ancak bu durumun ancak belli kesimler için geçerli olabileceği, bir toplumun tamamına mal edilip bir genel açıklama olarak kabul edilemeyeceği açıktır.</w:t>
      </w:r>
      <w:r w:rsidRPr="00E97E0B">
        <w:rPr>
          <w:rFonts w:ascii="Times" w:eastAsia="Calibri" w:hAnsi="Times" w:cs="Times New Roman"/>
          <w:sz w:val="24"/>
          <w:szCs w:val="24"/>
          <w:vertAlign w:val="superscript"/>
        </w:rPr>
        <w:footnoteReference w:id="136"/>
      </w:r>
    </w:p>
    <w:p w14:paraId="4C4D9659"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Slavoj Zizek’in egemen olan ideolojinin kabul edilmesi veya tamamen uyulması mutlaka zorunlu olan bir ideoloji olmadığı yönündeki sözleri tartışmaya ilginç bir boyut kazandırmıştır. Ona göre adeta egemen ideoloji sorgulanacağını kestirerek önlemini almış ve söylemini tekrar tertiplemiştir. Yolsuzluk örneği üzerinden anlattığı durumda bir üst düzey yetkilinin kendisine yöneltilen yolsuzluk suçlamasına cevaben yolsuzluk yapmadığını söylemesi ve hemen hiç kimsenin </w:t>
      </w:r>
      <w:r w:rsidRPr="00E97E0B">
        <w:rPr>
          <w:rFonts w:ascii="Times" w:eastAsia="Calibri" w:hAnsi="Times" w:cs="Times New Roman"/>
          <w:sz w:val="24"/>
          <w:szCs w:val="24"/>
        </w:rPr>
        <w:lastRenderedPageBreak/>
        <w:t>onun sözlerine inanmaması ve onun da bunu bilmesi ve herkesin onun bunu bildiğini bilmesi ve buna rağmen değişen hiçbir şey olmaması durumu ile Zizek, ideoloji eleştirilerinin geleneksel biçimlerinden biri sosyal uygulamaların gerçek olduğunu ama bunları haklı göstermede kullanılan inançların yanılsama olduğunu söyler. Zizek’e göre yanlışlık kişilerin söylediği değil ama yaptığı şeylerde olabilir. Bu durumda insanlar meta fetişizmine esir olarak aslında ne yaptıklarını bilerek bu eylemlerini sürdürürler. Bu açıdan bakıldığında ideoloji ne söylendiğinde değil aynı zamanda ve hatta daha fazla ne yapıldığında saklıdır.</w:t>
      </w:r>
      <w:r w:rsidRPr="00E97E0B">
        <w:rPr>
          <w:rFonts w:ascii="Times" w:eastAsia="Calibri" w:hAnsi="Times" w:cs="Times New Roman"/>
          <w:sz w:val="24"/>
          <w:szCs w:val="24"/>
          <w:vertAlign w:val="superscript"/>
        </w:rPr>
        <w:footnoteReference w:id="137"/>
      </w:r>
      <w:r w:rsidRPr="00E97E0B">
        <w:rPr>
          <w:rFonts w:ascii="Times" w:eastAsia="Calibri" w:hAnsi="Times" w:cs="Times New Roman"/>
          <w:sz w:val="24"/>
          <w:szCs w:val="24"/>
        </w:rPr>
        <w:t xml:space="preserve"> </w:t>
      </w:r>
    </w:p>
    <w:p w14:paraId="578DC2D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Pek çok alanda olduğu gibi siyasi sahada da aktörlerin sıklıkla birbirlerini çeşitli biçimlerde ahlaksızlık, hırsızlık, haksızlık, yolsuzluk, çıkarcılık hatta hainlikle suçlayabildiği ve karalaybildiği üstelik diğerlerini dürüst davranmaya, barışa, güvenmeye, kamu yararını ve halkın çıkarlarını kendi çıkarlarının üstünde tutmaya -ki böyle bir şeyin ne kadar mümkün olabileceği ezeli bir tartışma konusudur- altrüist davranmaya davet edebildiği bir durumun olduğu sürekli gözlemlenebilmektedir. Dahası bu eylemler tek yönlü değil çok yönlü olarak karşımıza çıkmaktadır. Bunca suçlamanın hem de karşılıklı ve gündelik bir biçimde tekrarı ya siyasi aktörlerin birinin haklı olduğu sonucunu ya da hepsinin çeşitli oranlarla haklı olduğu gibi bir sonucu çıkarmamıza neden olması imkân dahilindedir. Ancak çeşitli aktörlerin birbirini sıklıkla ağır dille suçlayabildiği bir dünyada aslında hiçbirinin pek de haklı olmadığı gibi bir sonuç da çıkarılabilir. Yani isteyerek olmasa bile nesnel bir “ikiyüzlülük” söz konusu olabilmektedir. Bu tıpkı bir tüccarın ticaret yaptığı kişiye alışverişi yapabilmek için güven verme amacıyla karşındakine güvendiğini söyleyip aslında güvenmemesine benzer. Tüccarın burada gerçek anlamda sinik bir karaktere sahip olması gerekmemektedir. Ancak karşısındakine güvenmese ve karşısındakini dolandıma niyeti olmasa da şeklen güvendiğini söylemesi neredeyse mecburi olarak kabul edilir ve rasyonalize edici sınırsız sayıda açıklama bulunabilir. Bu çerçeveden bakıldığında ideolojinin aslında tutarlı ve mutlak bir hakimiyeti olmadığı gibi toplumsal yaşamdaki deneyimleri biçimlendirmede etkisinin sınırlarının olduğu anlaşılabilir.</w:t>
      </w:r>
    </w:p>
    <w:p w14:paraId="7478FBF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Aslında İdeolojik perspektiflerin ideoloji kelimesini anlamlandırması gördüğümüz üzere birbirinden farklıdır. Ancak ideolojinin ne olduğu kategorilerinin neler olduğu konusunda tek bir açıklama olmaması bu konuda tanım yapmayı zorlaştırmaktadır. Bu nedenle de ideolojiyle ilgili bir çalışma yapılırken hangi ideolojik kategorilerden yararlanılacağı konusu basit bir yanıtı olamayacak kadar karmaşık olmakla birlikte inceleme konusuna göre bazı öne çıkan kategorilere başvurmak sağlıklı görünmektedir. </w:t>
      </w:r>
    </w:p>
    <w:p w14:paraId="6066F33E" w14:textId="77777777" w:rsidR="002858AE" w:rsidRPr="00E97E0B" w:rsidRDefault="002858AE" w:rsidP="00E93FD2">
      <w:pPr>
        <w:pStyle w:val="Heading2"/>
      </w:pPr>
      <w:bookmarkStart w:id="72" w:name="_Toc141133073"/>
      <w:r w:rsidRPr="00E97E0B">
        <w:t>2.4. Ötekinin İnşası</w:t>
      </w:r>
      <w:bookmarkEnd w:id="72"/>
      <w:r w:rsidRPr="00E97E0B">
        <w:t xml:space="preserve"> </w:t>
      </w:r>
    </w:p>
    <w:p w14:paraId="688E7A7F" w14:textId="4F2BF9C6"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İnsanlar aralarında iletişim kurarken ve etkileşime girerken dil ve sembollere başvurur, Bireyler sembollere ihtiyaç duyar ve bu semboller Herbert Brumer'in belirtmiş olduğu üzere kaotik bir dünyaya düzen getirmeyi amaçlar. Başkalarıyla etkileşirken öncelikli olarak bilmemiz gereken şey onların kim olduğunu ve kendimizin kim olduğumuzu bilmek durumundayız. Kendimizin onlar için anlamını ve onların kendimiz için anlamını bilmeden ne yapmamız gerektiğini kestirmemiz imkânsız gibidir. İşte bu ötekini tanıma, tanımlama sürecini kapsar. Birey karşısındakine nasıl davranacağını ve öyle davrandığında nasıl bir karşılık alacağını öngörebilir. Bu da ötekini tanımlamakla mümkündür. Bu aynı zamanda ötekini ve/veya ötekileri kategorize ederek onların nasıl davranacağına dair öngörüde bulunacağı gibi ötekileri kategorize ederek aralarında bağlantı ve ilişki kurar; kimin neyi ne kadar kontrol ettiğini belirler. Bu kategorize etme ve tanımlama ya da sembolik etiketleme işi</w:t>
      </w:r>
      <w:r w:rsidR="0057707F" w:rsidRPr="00E97E0B">
        <w:rPr>
          <w:rFonts w:ascii="Times" w:eastAsia="Calibri" w:hAnsi="Times" w:cs="Times New Roman"/>
          <w:sz w:val="24"/>
          <w:szCs w:val="24"/>
        </w:rPr>
        <w:t>,</w:t>
      </w:r>
      <w:r w:rsidRPr="00E97E0B">
        <w:rPr>
          <w:rFonts w:ascii="Times" w:eastAsia="Calibri" w:hAnsi="Times" w:cs="Times New Roman"/>
          <w:sz w:val="24"/>
          <w:szCs w:val="24"/>
        </w:rPr>
        <w:t xml:space="preserve"> ancak kullandığımız dil ve içinde olduğumuz kültür aracılığıyla gerçekleştirilebilir.</w:t>
      </w:r>
      <w:r w:rsidRPr="00E97E0B">
        <w:rPr>
          <w:rFonts w:ascii="Times" w:eastAsia="Calibri" w:hAnsi="Times" w:cs="Times New Roman"/>
          <w:sz w:val="24"/>
          <w:szCs w:val="24"/>
          <w:vertAlign w:val="superscript"/>
        </w:rPr>
        <w:footnoteReference w:id="138"/>
      </w:r>
      <w:r w:rsidRPr="00E97E0B">
        <w:rPr>
          <w:rFonts w:ascii="Times" w:eastAsia="Calibri" w:hAnsi="Times" w:cs="Times New Roman"/>
          <w:sz w:val="24"/>
          <w:szCs w:val="24"/>
        </w:rPr>
        <w:t xml:space="preserve"> Harle insanın kendini konumlandırmak için bir ötekine kaçınılmaz olarak ihtiyaç duyduğu fikrini savunur. Ötekini tanımlamanın en kestirme yolunun “biz”den farklı olan şeklinde ifade edilebileceğinden bahseder.</w:t>
      </w:r>
      <w:r w:rsidRPr="00E97E0B">
        <w:rPr>
          <w:rFonts w:ascii="Times" w:eastAsia="Calibri" w:hAnsi="Times" w:cs="Times New Roman"/>
          <w:sz w:val="24"/>
          <w:szCs w:val="24"/>
          <w:vertAlign w:val="superscript"/>
        </w:rPr>
        <w:footnoteReference w:id="139"/>
      </w:r>
      <w:r w:rsidRPr="00E97E0B">
        <w:rPr>
          <w:rFonts w:ascii="Times" w:eastAsia="Calibri" w:hAnsi="Times" w:cs="Times New Roman"/>
          <w:sz w:val="24"/>
          <w:szCs w:val="24"/>
        </w:rPr>
        <w:t xml:space="preserve"> </w:t>
      </w:r>
    </w:p>
    <w:p w14:paraId="3CFE4655" w14:textId="77777777" w:rsidR="002858AE" w:rsidRPr="00E97E0B" w:rsidRDefault="002858AE" w:rsidP="00E93FD2">
      <w:pPr>
        <w:pStyle w:val="Heading3"/>
      </w:pPr>
      <w:bookmarkStart w:id="75" w:name="_Toc141133074"/>
      <w:r w:rsidRPr="00E97E0B">
        <w:t>2.4.1. Sosyal Kimlik ve Ötekinin İnşası</w:t>
      </w:r>
      <w:bookmarkEnd w:id="75"/>
    </w:p>
    <w:p w14:paraId="01DD0FD0" w14:textId="70E7D9E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Kimlik tekil veya çoğul farklı düzlem ve anlamlarda insanın içinde bulunduğu ve bulunmak durumunda kaldığı niteleyici kümeler dizisi olarak </w:t>
      </w:r>
      <w:r w:rsidRPr="00E97E0B">
        <w:rPr>
          <w:rFonts w:ascii="Times" w:eastAsia="Calibri" w:hAnsi="Times" w:cs="Times New Roman"/>
          <w:sz w:val="24"/>
          <w:szCs w:val="24"/>
        </w:rPr>
        <w:lastRenderedPageBreak/>
        <w:t>düşünülebilir. Ancak kimliği bu çalışmanın bir gereği olarak ağırlıkla sosyal kimlik açısından değerlendirmek uygun olacaktır. Yapı-süreç, alan-kategori başlıkları altında incelenebilen kimlik Schwartz ve diğerleri tarafından; bu iki başlığın ilkinin altbaşlıkları olarak bireysel ve gelişimsel perspektif, kimlik inşasında sosyo-bilişsel perspektif, sosyal ve bağlamsal perspektif, iyi oluş, ihtiyaçlar ve motifler ile, ikincisinin altbaşlıkları, ahlaki ve spiritüel alanlar, aile ve toplumsal cinsiyet, ekonomik katılım ve yurttaşlık katılımı, etnik ve kültürel kimlik, ulusal kimlik uyum ve çatışma şeklinde belirle</w:t>
      </w:r>
      <w:r w:rsidR="00196642" w:rsidRPr="00E97E0B">
        <w:rPr>
          <w:rFonts w:ascii="Times" w:eastAsia="Calibri" w:hAnsi="Times" w:cs="Times New Roman"/>
          <w:sz w:val="24"/>
          <w:szCs w:val="24"/>
        </w:rPr>
        <w:t>n</w:t>
      </w:r>
      <w:r w:rsidRPr="00E97E0B">
        <w:rPr>
          <w:rFonts w:ascii="Times" w:eastAsia="Calibri" w:hAnsi="Times" w:cs="Times New Roman"/>
          <w:sz w:val="24"/>
          <w:szCs w:val="24"/>
        </w:rPr>
        <w:t>miştir.</w:t>
      </w:r>
      <w:r w:rsidRPr="00E97E0B">
        <w:rPr>
          <w:rFonts w:ascii="Times" w:eastAsia="Calibri" w:hAnsi="Times" w:cs="Times New Roman"/>
          <w:sz w:val="24"/>
          <w:szCs w:val="24"/>
          <w:vertAlign w:val="superscript"/>
        </w:rPr>
        <w:footnoteReference w:id="140"/>
      </w:r>
      <w:r w:rsidRPr="00E97E0B">
        <w:rPr>
          <w:rFonts w:ascii="Times" w:eastAsia="Calibri" w:hAnsi="Times" w:cs="Times New Roman"/>
          <w:sz w:val="24"/>
          <w:szCs w:val="24"/>
        </w:rPr>
        <w:t xml:space="preserve"> Bunlar aynı zamanda kimliğin kavramsal öğelerini içermektedir. Sosyal ve bağlamsal açıdan ilgimizin yoğunlaştığı çalışmamızda kimlik inşasında söylem rolü öne çıkmaktadır. Bu açıdan toplumsal söylemlerden kimliğe giden yaklaşımlarla, söylemsel edimlerden kimliğe giden yaklaşımların ayrıldığı görülmektedir. Bu noktada ise söylemsel kimlik inşasının üç mühim ve ikircikli unsuru karşımıza çıkmaktadır; ilki kişiden toplumsal boyuta veya tam tersi şekilde toplumdan kişisel boyuta giden iki yönlü faillik, ikincisi tekil olma ile toplumsal olma anlamında kendi ile ötekinin ayrışması ve benzer olma ve ait olma durumları iken üçüncüsü bir başkasının yaşantısı veya yaşantısının bir kısmı üzerinden farklı veya aynı olmaya nasıl yöneldiğidir.</w:t>
      </w:r>
      <w:r w:rsidRPr="00E97E0B">
        <w:rPr>
          <w:rFonts w:ascii="Times" w:eastAsia="Calibri" w:hAnsi="Times" w:cs="Times New Roman"/>
          <w:sz w:val="24"/>
          <w:szCs w:val="24"/>
          <w:vertAlign w:val="superscript"/>
        </w:rPr>
        <w:footnoteReference w:id="141"/>
      </w:r>
      <w:r w:rsidRPr="00E97E0B">
        <w:rPr>
          <w:rFonts w:ascii="Times" w:eastAsia="Calibri" w:hAnsi="Times" w:cs="Times New Roman"/>
          <w:sz w:val="24"/>
          <w:szCs w:val="24"/>
        </w:rPr>
        <w:t xml:space="preserve"> Bu aynı zamanda bir tür ilişkisellik ve ayrıcalık ikilemine tekabül eder.</w:t>
      </w:r>
      <w:r w:rsidRPr="00E97E0B">
        <w:rPr>
          <w:rFonts w:ascii="Times" w:eastAsia="Calibri" w:hAnsi="Times" w:cs="Times New Roman"/>
          <w:sz w:val="24"/>
          <w:szCs w:val="24"/>
          <w:vertAlign w:val="superscript"/>
        </w:rPr>
        <w:footnoteReference w:id="142"/>
      </w:r>
      <w:r w:rsidRPr="00E97E0B">
        <w:rPr>
          <w:rFonts w:ascii="Times" w:eastAsia="Calibri" w:hAnsi="Times" w:cs="Times New Roman"/>
          <w:sz w:val="24"/>
          <w:szCs w:val="24"/>
        </w:rPr>
        <w:t xml:space="preserve"> Halihazırda büyük oranda paylaşılıyor olan ortak kavram ve anlam setleri aslında ortak kategori ve etiketlerin varlığını ve hatta bu kategorilere, içinde bulunulan kategoriden hangi durumlarda nasıl tepki verileceğini de temin eder. Dahası aralarındaki ilişkiler de ötekinin kimliğini ve sembollerin anlamlarını tekrardan doğrular veya farklı bir yöne evirebilir. Bu aynı zamanda kimliğin de müzakerenin sonucunda tekrardan şekil kazanmasına da imkân tanır.</w:t>
      </w:r>
      <w:r w:rsidRPr="00E97E0B">
        <w:rPr>
          <w:rFonts w:ascii="Times" w:eastAsia="Calibri" w:hAnsi="Times" w:cs="Times New Roman"/>
          <w:sz w:val="24"/>
          <w:szCs w:val="24"/>
          <w:vertAlign w:val="superscript"/>
        </w:rPr>
        <w:footnoteReference w:id="143"/>
      </w:r>
      <w:r w:rsidRPr="00E97E0B">
        <w:rPr>
          <w:rFonts w:ascii="Times" w:eastAsia="Calibri" w:hAnsi="Times" w:cs="Times New Roman"/>
          <w:sz w:val="24"/>
          <w:szCs w:val="24"/>
        </w:rPr>
        <w:t xml:space="preserve"> </w:t>
      </w:r>
    </w:p>
    <w:p w14:paraId="18B4456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Pek çok sosyal bilim tartışmasında olduğu gibi makro boyutlu perspektiften toplumsal kimliğin gelişimini açıklamaya çalışan yaklaşımların temel ayrım hatları </w:t>
      </w:r>
      <w:r w:rsidRPr="00E97E0B">
        <w:rPr>
          <w:rFonts w:ascii="Times" w:eastAsia="Calibri" w:hAnsi="Times" w:cs="Times New Roman"/>
          <w:sz w:val="24"/>
          <w:szCs w:val="24"/>
        </w:rPr>
        <w:lastRenderedPageBreak/>
        <w:t>materyalizm-idealizm ekseninde kendini bir kez daha gösterir. Bu karşılaşma daha somut bir haliyle inşacılık-realizm tartışmasında görünür. Her iki yaklaşım da birbirlerinden yararlanmakla birlikte farklı düşünürleri yaklaşımların birine ve diğerine derecelerde yakınlaşır. Bu perspektiflerden en çok gündeme gelen konular ise sosyalleşme ve rekabet nosyonları ile doğal ve kültürel seçilimdir. Aynı şekilde sosyal öğrenme ve taklit kültürel öğrenmenin temelleri olarak açıklanırken, rasyonel ve realist ekolün daha çok vurgu yaptığı doğal seçilimin aksine inşacıların daha yakın olduğu bir açıklama aracıdır. Kimlik her durumda toplum içindeki konum ve mevcut konumun çıkarlarıyla doğrudan ilişkili bir kavram olarak ele alınır.</w:t>
      </w:r>
      <w:r w:rsidRPr="00E97E0B">
        <w:rPr>
          <w:rFonts w:ascii="Times" w:eastAsia="Calibri" w:hAnsi="Times" w:cs="Times New Roman"/>
          <w:sz w:val="24"/>
          <w:szCs w:val="24"/>
          <w:vertAlign w:val="superscript"/>
        </w:rPr>
        <w:footnoteReference w:id="144"/>
      </w:r>
      <w:r w:rsidRPr="00E97E0B">
        <w:rPr>
          <w:rFonts w:ascii="Times" w:eastAsia="Calibri" w:hAnsi="Times" w:cs="Times New Roman"/>
          <w:sz w:val="24"/>
          <w:szCs w:val="24"/>
        </w:rPr>
        <w:t xml:space="preserve"> Kimliğe özcü, inşacı ve araçsal yaklaşımlar üzerinden bakan yazarlar da özcü yaklaşımlarla kimliğin bir sabit bir unsur olarak ele alırken, inşacılar yine açıklandığı üzere bunun verili ve a priori bir unsur olmadığını aktörlerin tanımlamayı yapma biçimlerine ve iradelerine göre kimliğin evrildiğini savunurlar. Araçsal yaklaşım ise kimliğe, yer yer kimlik siyaseti adı da verilen kimliğin siyasi amaçlarla tanımlanması ve yeniden şekillendirilmesini içeren süreçleri de kapsayan siyasal elitlerin şekillendirdiği bir araç olarak yaklaşır.</w:t>
      </w:r>
      <w:r w:rsidRPr="00E97E0B">
        <w:rPr>
          <w:rFonts w:ascii="Times" w:eastAsia="Calibri" w:hAnsi="Times" w:cs="Times New Roman"/>
          <w:sz w:val="24"/>
          <w:szCs w:val="24"/>
          <w:vertAlign w:val="superscript"/>
        </w:rPr>
        <w:footnoteReference w:id="145"/>
      </w:r>
      <w:r w:rsidRPr="00E97E0B">
        <w:rPr>
          <w:rFonts w:ascii="Times" w:eastAsia="Calibri" w:hAnsi="Times" w:cs="Times New Roman"/>
          <w:sz w:val="24"/>
          <w:szCs w:val="24"/>
        </w:rPr>
        <w:t xml:space="preserve"> Kimlik siyasette genel olarak etnisite, ırk, din, cinsiyet ve kültür gibi unsurlardan sıklıkla beslenir.</w:t>
      </w:r>
    </w:p>
    <w:p w14:paraId="56D65129"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Kimlikte en temel olarak başvurulan teorik yaklaşımlara göz atacak olursak Tajfel ve Turner’ın ortaya attığı Sosyal Kimlik Kuramı öne çıkmaktadır. İnsanların kendilerini ve etraflarındaki topluluklarını kategorilendirdiği savına dayanan kuram iç ve dış grup olarak temel bir ayrımın yapıldığını ve bu grup algısı doğrultusunda ayrımcılık ve kayırmacılık davranışının geliştiğini savunur. Aynı şekilde gruplar arası ilişkiler de çatışma ve ayrımcılık üzerinden kendini gösterir. Bu şekilde dahil olunan ve hariçte kalan pek çok grup olduğundan birey düzeyinde de gruplar düzeyinde de çok boyutlu davranış tarzları kendini gösterir. Tajfel grup üyeliği bilgisinin edinilmesinin ardından o üyeliğe bir değer ve anlam atfetmeyi takip eden bir bütünleşemeden bahseder. Bu bütünleşme benliğini grubun bir parçası olarak görmek anlamına gelir. Bu bütünleşme onlara hem bir kimlik kazandırır hem de öz saygılarını da besler, diğer taraftan grubun niteliklerine göre birey o grupta olmayı </w:t>
      </w:r>
      <w:r w:rsidRPr="00E97E0B">
        <w:rPr>
          <w:rFonts w:ascii="Times" w:eastAsia="Calibri" w:hAnsi="Times" w:cs="Times New Roman"/>
          <w:sz w:val="24"/>
          <w:szCs w:val="24"/>
        </w:rPr>
        <w:lastRenderedPageBreak/>
        <w:t>tatmin edici bulup bulmadığına göre dahil olmayı sürdürmeyi ya da ayrılmayı tercih etme kapasitesine sahiptir. Diğer taraftan kendini gruba ait hissetme iç gruba olumlu özellikler atfetme, benzerlik ve homojenlik algısı gibi unsurlar grupla bütünleşmeyi pekiştirdiği gibi kendine yabancılaşma boyutuna varan bir bütünleşmeyi beraberinde getirebilmektedir. Bu Hogg’un da tarif ettiği gibi bir kolektif kimlikle benliğin temsil edilme durumu olarak karşımıza çıkar. Burada duygu ve duygulanımın grup tutum ve davranışlarında oynadığı rol merkezî öneme sahiptir.</w:t>
      </w:r>
      <w:r w:rsidRPr="00E97E0B">
        <w:rPr>
          <w:rFonts w:ascii="Times" w:eastAsia="Calibri" w:hAnsi="Times" w:cs="Times New Roman"/>
          <w:sz w:val="24"/>
          <w:szCs w:val="24"/>
          <w:vertAlign w:val="superscript"/>
        </w:rPr>
        <w:footnoteReference w:id="146"/>
      </w:r>
    </w:p>
    <w:p w14:paraId="76F48834" w14:textId="3488B2D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Stryker’ın, etkileşimsel kimlik kuramı ise sembolik etkileşimciliğin yapısal bir versiyonunun kimlik kuramına uyarlanmasıdır. Bu teori davranışın dayandığı seçimlerin benlikle ilişkisine ve bu çerçevede toplumsal konuma ve role vurgu yapar. </w:t>
      </w:r>
      <w:r w:rsidR="00F70125" w:rsidRPr="00E97E0B">
        <w:rPr>
          <w:rFonts w:ascii="Times" w:eastAsia="Calibri" w:hAnsi="Times" w:cs="Times New Roman"/>
          <w:sz w:val="24"/>
          <w:szCs w:val="24"/>
        </w:rPr>
        <w:t>Stryker, g</w:t>
      </w:r>
      <w:r w:rsidRPr="00E97E0B">
        <w:rPr>
          <w:rFonts w:ascii="Times" w:eastAsia="Calibri" w:hAnsi="Times" w:cs="Times New Roman"/>
          <w:sz w:val="24"/>
          <w:szCs w:val="24"/>
        </w:rPr>
        <w:t>rup ve toplumsal ağ kavramlarını birbiri yerine kullanarak bireyin toplumsal ilişkilerinin oluşturduğu ve benlik anlayışıyla büyük ölçüde bütünleşen davranış kalıpları ve sosyal konumlandırmalarının toplumsal kimliksel bağlılıkla pekiştiği bir yapıdan bahseder. Bütün bunlar toplumsal etkileşim içinde kendini inşa etmektedir. Kişi birçok toplumsal kimliğe dolayısıyla da o kimliklerin içinde oluşmuş konumlara ve o konumların gerektirdiği rollere büyük ölçüde bağlıdır. Bu anlamda kimlik, içselleştirilmiş roller bütünü ve bu bütünün getirdiği beklentiler olarak tarif edilir.</w:t>
      </w:r>
      <w:r w:rsidRPr="00E97E0B">
        <w:rPr>
          <w:rFonts w:ascii="Times" w:eastAsia="Calibri" w:hAnsi="Times" w:cs="Times New Roman"/>
          <w:sz w:val="24"/>
          <w:szCs w:val="24"/>
          <w:vertAlign w:val="superscript"/>
        </w:rPr>
        <w:footnoteReference w:id="147"/>
      </w:r>
      <w:r w:rsidRPr="00E97E0B">
        <w:rPr>
          <w:rFonts w:ascii="Times" w:eastAsia="Calibri" w:hAnsi="Times" w:cs="Times New Roman"/>
          <w:sz w:val="24"/>
          <w:szCs w:val="24"/>
        </w:rPr>
        <w:t xml:space="preserve"> Sosyal inşacı yaklaşım, sembolik etkileşimciliğin kimlikle ilgili yaklaşımını, kimliği toplum/topluluk içinde kurulan ilişkiler olarak yorumlayarak dönüştürür. Berger ve Luckman da kimliklerin sosyal gerçekliği inşa eden bir unsur olarak sabit ve verili bir anlamda ele alınmasını kabul etmezler ve sosyal bağlamın kimliğin içinde kurulduğu bir belirleyici olduğunu savunurlar.</w:t>
      </w:r>
      <w:r w:rsidRPr="00E97E0B">
        <w:rPr>
          <w:rFonts w:ascii="Times" w:eastAsia="Calibri" w:hAnsi="Times" w:cs="Times New Roman"/>
          <w:sz w:val="24"/>
          <w:szCs w:val="24"/>
          <w:vertAlign w:val="superscript"/>
        </w:rPr>
        <w:footnoteReference w:id="148"/>
      </w:r>
    </w:p>
    <w:p w14:paraId="1E1A2BD4" w14:textId="7B41B23D"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Karşılaştırma ihtiyacı, tıpkı bir şeyin boyutunun kısa mı uzun mu olduğunu anlamak için -söz konusu bir ölçü aleti dahi olsa- bir başka nesneye bakarak fikir sahibi olmak kadar temel bir gereksinim olarak kabul edilir. Bu anlamda </w:t>
      </w:r>
      <w:r w:rsidRPr="00E97E0B">
        <w:rPr>
          <w:rFonts w:ascii="Times" w:eastAsia="Calibri" w:hAnsi="Times" w:cs="Times New Roman"/>
          <w:i/>
          <w:iCs/>
          <w:sz w:val="24"/>
          <w:szCs w:val="24"/>
        </w:rPr>
        <w:t>ben</w:t>
      </w:r>
      <w:r w:rsidRPr="00E97E0B">
        <w:rPr>
          <w:rFonts w:ascii="Times" w:eastAsia="Calibri" w:hAnsi="Times" w:cs="Times New Roman"/>
          <w:sz w:val="24"/>
          <w:szCs w:val="24"/>
        </w:rPr>
        <w:t xml:space="preserve"> ötekiye ihtiyaç duyar</w:t>
      </w:r>
      <w:r w:rsidR="00F70125" w:rsidRPr="00E97E0B">
        <w:rPr>
          <w:rFonts w:ascii="Times" w:eastAsia="Calibri" w:hAnsi="Times" w:cs="Times New Roman"/>
          <w:sz w:val="24"/>
          <w:szCs w:val="24"/>
        </w:rPr>
        <w:t>,</w:t>
      </w:r>
      <w:r w:rsidRPr="00E97E0B">
        <w:rPr>
          <w:rFonts w:ascii="Times" w:eastAsia="Calibri" w:hAnsi="Times" w:cs="Times New Roman"/>
          <w:sz w:val="24"/>
          <w:szCs w:val="24"/>
        </w:rPr>
        <w:t xml:space="preserve"> denebilir. Diğer taraftan öteki biz olanın dışında kalandır. Harle </w:t>
      </w:r>
      <w:r w:rsidRPr="00E97E0B">
        <w:rPr>
          <w:rFonts w:ascii="Times" w:eastAsia="Calibri" w:hAnsi="Times" w:cs="Times New Roman"/>
          <w:i/>
          <w:iCs/>
          <w:sz w:val="24"/>
          <w:szCs w:val="24"/>
        </w:rPr>
        <w:t>öteki</w:t>
      </w:r>
      <w:r w:rsidRPr="00E97E0B">
        <w:rPr>
          <w:rFonts w:ascii="Times" w:eastAsia="Calibri" w:hAnsi="Times" w:cs="Times New Roman"/>
          <w:sz w:val="24"/>
          <w:szCs w:val="24"/>
        </w:rPr>
        <w:t xml:space="preserve">ni </w:t>
      </w:r>
      <w:r w:rsidRPr="00E97E0B">
        <w:rPr>
          <w:rFonts w:ascii="Times" w:eastAsia="Calibri" w:hAnsi="Times" w:cs="Times New Roman"/>
          <w:i/>
          <w:iCs/>
          <w:sz w:val="24"/>
          <w:szCs w:val="24"/>
        </w:rPr>
        <w:t>biz</w:t>
      </w:r>
      <w:r w:rsidRPr="00E97E0B">
        <w:rPr>
          <w:rFonts w:ascii="Times" w:eastAsia="Calibri" w:hAnsi="Times" w:cs="Times New Roman"/>
          <w:sz w:val="24"/>
          <w:szCs w:val="24"/>
        </w:rPr>
        <w:t xml:space="preserve">den farklı olan bir şey olarak tanımlamıştır. Yine bu kapsamda </w:t>
      </w:r>
      <w:r w:rsidRPr="00E97E0B">
        <w:rPr>
          <w:rFonts w:ascii="Times" w:eastAsia="Calibri" w:hAnsi="Times" w:cs="Times New Roman"/>
          <w:sz w:val="24"/>
          <w:szCs w:val="24"/>
        </w:rPr>
        <w:lastRenderedPageBreak/>
        <w:t xml:space="preserve">öteki düşmanla eş anlamlı değildir ancak biri diğerini kapsamaktadır yani </w:t>
      </w:r>
      <w:r w:rsidRPr="00E97E0B">
        <w:rPr>
          <w:rFonts w:ascii="Times" w:eastAsia="Calibri" w:hAnsi="Times" w:cs="Times New Roman"/>
          <w:i/>
          <w:iCs/>
          <w:sz w:val="24"/>
          <w:szCs w:val="24"/>
        </w:rPr>
        <w:t xml:space="preserve">öteki </w:t>
      </w:r>
      <w:r w:rsidRPr="00E97E0B">
        <w:rPr>
          <w:rFonts w:ascii="Times" w:eastAsia="Calibri" w:hAnsi="Times" w:cs="Times New Roman"/>
          <w:sz w:val="24"/>
          <w:szCs w:val="24"/>
        </w:rPr>
        <w:t>olmak</w:t>
      </w:r>
      <w:r w:rsidRPr="00E97E0B">
        <w:rPr>
          <w:rFonts w:ascii="Times" w:eastAsia="Calibri" w:hAnsi="Times" w:cs="Times New Roman"/>
          <w:i/>
          <w:iCs/>
          <w:sz w:val="24"/>
          <w:szCs w:val="24"/>
        </w:rPr>
        <w:t xml:space="preserve"> düşman</w:t>
      </w:r>
      <w:r w:rsidRPr="00E97E0B">
        <w:rPr>
          <w:rFonts w:ascii="Times" w:eastAsia="Calibri" w:hAnsi="Times" w:cs="Times New Roman"/>
          <w:sz w:val="24"/>
          <w:szCs w:val="24"/>
        </w:rPr>
        <w:t xml:space="preserve"> olmanın zorunlu önşartıdır. İlki bizim kendimizi tanımamızı sağlayan bir kontrast nesnesi, ikincisi ise kötülüğün menbaı olarak kabul edilecek ve kendisine karşı seferber olunacak bir saldırı nesnesidir. Bu ikisi birbirinden açık bir şekilde ayrılmaktadır. Bu aynı zamanda </w:t>
      </w:r>
      <w:r w:rsidRPr="00E97E0B">
        <w:rPr>
          <w:rFonts w:ascii="Times" w:eastAsia="Calibri" w:hAnsi="Times" w:cs="Times New Roman"/>
          <w:i/>
          <w:iCs/>
          <w:sz w:val="24"/>
          <w:szCs w:val="24"/>
        </w:rPr>
        <w:t>ben</w:t>
      </w:r>
      <w:r w:rsidRPr="00E97E0B">
        <w:rPr>
          <w:rFonts w:ascii="Times" w:eastAsia="Calibri" w:hAnsi="Times" w:cs="Times New Roman"/>
          <w:sz w:val="24"/>
          <w:szCs w:val="24"/>
        </w:rPr>
        <w:t xml:space="preserve">in dahil olduğu </w:t>
      </w:r>
      <w:r w:rsidRPr="00E97E0B">
        <w:rPr>
          <w:rFonts w:ascii="Times" w:eastAsia="Calibri" w:hAnsi="Times" w:cs="Times New Roman"/>
          <w:i/>
          <w:iCs/>
          <w:sz w:val="24"/>
          <w:szCs w:val="24"/>
        </w:rPr>
        <w:t>biz</w:t>
      </w:r>
      <w:r w:rsidRPr="00E97E0B">
        <w:rPr>
          <w:rFonts w:ascii="Times" w:eastAsia="Calibri" w:hAnsi="Times" w:cs="Times New Roman"/>
          <w:sz w:val="24"/>
          <w:szCs w:val="24"/>
        </w:rPr>
        <w:t>in iyi olduğu ve/veya olacağı anlamını pekiştiren bir bilinç halidir. Ötekiyi düşman haline getirme safhası ise refleksif empati ve özdeşleşme ile mümkün olur. Refleksif empati kişinin veya toplumun kendi içe bakışı ile gördüğü “kötülüğü” ötekine atfedip somutlaştırması iken ikincisi karşı tarafı bu atfettiği kötülük çerçevesine oturtarak onun gibi düşünmeye çalışmasıdır. Bütün bu konumlandırma süreçleri ise toplumsal kodlar üzerinden gerçekleşir.</w:t>
      </w:r>
      <w:r w:rsidRPr="00E97E0B">
        <w:rPr>
          <w:rFonts w:ascii="Times" w:eastAsia="Calibri" w:hAnsi="Times" w:cs="Times New Roman"/>
          <w:sz w:val="24"/>
          <w:szCs w:val="24"/>
          <w:vertAlign w:val="superscript"/>
        </w:rPr>
        <w:footnoteReference w:id="149"/>
      </w:r>
      <w:r w:rsidRPr="00E97E0B">
        <w:rPr>
          <w:rFonts w:ascii="Times" w:eastAsia="Calibri" w:hAnsi="Times" w:cs="Times New Roman"/>
          <w:sz w:val="24"/>
          <w:szCs w:val="24"/>
        </w:rPr>
        <w:t xml:space="preserve"> </w:t>
      </w:r>
    </w:p>
    <w:p w14:paraId="6D101E15" w14:textId="630B0419"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Kimliği en temel düzeyde var eden ayırımlardan biri olan</w:t>
      </w:r>
      <w:r w:rsidRPr="00E97E0B">
        <w:rPr>
          <w:rFonts w:ascii="Times" w:eastAsia="Calibri" w:hAnsi="Times" w:cs="Times New Roman"/>
          <w:i/>
          <w:iCs/>
          <w:sz w:val="24"/>
          <w:szCs w:val="24"/>
        </w:rPr>
        <w:t xml:space="preserve"> ben</w:t>
      </w:r>
      <w:r w:rsidRPr="00E97E0B">
        <w:rPr>
          <w:rFonts w:ascii="Times" w:eastAsia="Calibri" w:hAnsi="Times" w:cs="Times New Roman"/>
          <w:sz w:val="24"/>
          <w:szCs w:val="24"/>
        </w:rPr>
        <w:t xml:space="preserve"> ve </w:t>
      </w:r>
      <w:r w:rsidRPr="00E97E0B">
        <w:rPr>
          <w:rFonts w:ascii="Times" w:eastAsia="Calibri" w:hAnsi="Times" w:cs="Times New Roman"/>
          <w:i/>
          <w:iCs/>
          <w:sz w:val="24"/>
          <w:szCs w:val="24"/>
        </w:rPr>
        <w:t>sen</w:t>
      </w:r>
      <w:r w:rsidRPr="00E97E0B">
        <w:rPr>
          <w:rFonts w:ascii="Times" w:eastAsia="Calibri" w:hAnsi="Times" w:cs="Times New Roman"/>
          <w:sz w:val="24"/>
          <w:szCs w:val="24"/>
        </w:rPr>
        <w:t xml:space="preserve"> ayrımının hem Batı hem de antik İran Zedüştlüğü, Hristiyanlık ve İslam geleneklerinde </w:t>
      </w:r>
      <w:r w:rsidRPr="00E97E0B">
        <w:rPr>
          <w:rFonts w:ascii="Times" w:eastAsia="Calibri" w:hAnsi="Times" w:cs="Times New Roman"/>
          <w:i/>
          <w:iCs/>
          <w:sz w:val="24"/>
          <w:szCs w:val="24"/>
        </w:rPr>
        <w:t>iyi</w:t>
      </w:r>
      <w:r w:rsidRPr="00E97E0B">
        <w:rPr>
          <w:rFonts w:ascii="Times" w:eastAsia="Calibri" w:hAnsi="Times" w:cs="Times New Roman"/>
          <w:sz w:val="24"/>
          <w:szCs w:val="24"/>
        </w:rPr>
        <w:t xml:space="preserve"> ve </w:t>
      </w:r>
      <w:r w:rsidRPr="00E97E0B">
        <w:rPr>
          <w:rFonts w:ascii="Times" w:eastAsia="Calibri" w:hAnsi="Times" w:cs="Times New Roman"/>
          <w:i/>
          <w:iCs/>
          <w:sz w:val="24"/>
          <w:szCs w:val="24"/>
        </w:rPr>
        <w:t>kötü</w:t>
      </w:r>
      <w:r w:rsidRPr="00E97E0B">
        <w:rPr>
          <w:rFonts w:ascii="Times" w:eastAsia="Calibri" w:hAnsi="Times" w:cs="Times New Roman"/>
          <w:sz w:val="24"/>
          <w:szCs w:val="24"/>
        </w:rPr>
        <w:t xml:space="preserve"> karşıtlığıyla özdeşleştirildiği ve ötekinin de kötülük ve düşman ile temsil edildiğini savunan Harle bu suretle ötekinin insan olmayan bir şey olarak sunulduğunu söylemektedir.</w:t>
      </w:r>
      <w:r w:rsidRPr="00E97E0B">
        <w:rPr>
          <w:rFonts w:ascii="Times" w:eastAsia="Calibri" w:hAnsi="Times" w:cs="Times New Roman"/>
          <w:sz w:val="24"/>
          <w:szCs w:val="24"/>
          <w:vertAlign w:val="superscript"/>
        </w:rPr>
        <w:footnoteReference w:id="150"/>
      </w:r>
      <w:r w:rsidRPr="00E97E0B">
        <w:rPr>
          <w:rFonts w:ascii="Times" w:eastAsia="Calibri" w:hAnsi="Times" w:cs="Times New Roman"/>
          <w:sz w:val="24"/>
          <w:szCs w:val="24"/>
        </w:rPr>
        <w:t xml:space="preserve">  Diğer taraftan öteki ile düşman arasındaki ayrım her zaman aynı şiddette de olamaz, zira bunun dile de yansımaları söz konusudur. Söylemi anlamak ve bir çerçeveye oturtmak bunun nasıl yapıldığını anlamaya yardım eder. Örneğin hasım kelimesi düşman anlamında kullanılmakla birlikte rakip anlamına da yaklaşmaktadır. Aleyhtar, muhalif, karşıt, zıt, rakip gibi ötekiyi farklı vurgularla ifade eden pek çok terimin olduğu bilinmektedir. Dolayısıyla ötekinden düşmana doğru giden yelpazede pek çok ara form ve kavramsallaştırmadan bahsedebiliriz. Çalışmamıza değineceğimiz ötekiler de aslında o formların belirli siyasi bağlamlarda yer alan bazı çeşitleri olacaktır. Rieber ve Kelly’nin vurguladığı üzere ötekini dışsallaştırmayı sağlayan mekanizmayı tetikleyen ise kendi ve kendi benzeri olanla ötekini eşleştirmek istememek olarak görülebilir. Bunlara ek olarak Keen gibi araştırmacılar da seçici hafızanın ötekileştirme mekanizmalarını desteklediğini savunur. Ötekileştirmenin ileri </w:t>
      </w:r>
      <w:r w:rsidRPr="00E97E0B">
        <w:rPr>
          <w:rFonts w:ascii="Times" w:eastAsia="Calibri" w:hAnsi="Times" w:cs="Times New Roman"/>
          <w:sz w:val="24"/>
          <w:szCs w:val="24"/>
        </w:rPr>
        <w:lastRenderedPageBreak/>
        <w:t>aşaması olarak anlaşılabilecek olan düşmanlaştırma çeşitli sıf</w:t>
      </w:r>
      <w:r w:rsidR="00A7613B" w:rsidRPr="00E97E0B">
        <w:rPr>
          <w:rFonts w:ascii="Times" w:eastAsia="Calibri" w:hAnsi="Times" w:cs="Times New Roman"/>
          <w:sz w:val="24"/>
          <w:szCs w:val="24"/>
        </w:rPr>
        <w:t>a</w:t>
      </w:r>
      <w:r w:rsidRPr="00E97E0B">
        <w:rPr>
          <w:rFonts w:ascii="Times" w:eastAsia="Calibri" w:hAnsi="Times" w:cs="Times New Roman"/>
          <w:sz w:val="24"/>
          <w:szCs w:val="24"/>
        </w:rPr>
        <w:t>t ve özellikleri düşmanlaştırılan nesneye atfedebilir, zira düşman yalnızca düşman olarak değil mutlaka beraberinde taşıdığı kabul edilen özelliklerle tanınabilir. Bu aynı zamanda söylemin özneyi kurma sürelilik arz eden bir edimdir.</w:t>
      </w:r>
      <w:r w:rsidRPr="00E97E0B">
        <w:rPr>
          <w:rFonts w:ascii="Times" w:eastAsia="Calibri" w:hAnsi="Times" w:cs="Times New Roman"/>
          <w:sz w:val="24"/>
          <w:szCs w:val="24"/>
          <w:vertAlign w:val="superscript"/>
        </w:rPr>
        <w:footnoteReference w:id="151"/>
      </w:r>
      <w:r w:rsidRPr="00E97E0B">
        <w:rPr>
          <w:rFonts w:ascii="Times" w:eastAsia="Calibri" w:hAnsi="Times" w:cs="Times New Roman"/>
          <w:sz w:val="24"/>
          <w:szCs w:val="24"/>
        </w:rPr>
        <w:t xml:space="preserve"> Bu ötekileştirilerek düşman veya zararlı bir öteki haline getirilen ve nesneleştirilen öznenin varlığını zarar vermek üzerine kurduğu gibi gerçeklikten uzaklaşan karşılıklı bir kendini gerçekleştiren öngörüyü de beraberinde getirir. </w:t>
      </w:r>
    </w:p>
    <w:p w14:paraId="51FF9315" w14:textId="17E59A29" w:rsidR="00C82B92" w:rsidRPr="00E97E0B" w:rsidRDefault="00C82B92" w:rsidP="00C82B92">
      <w:pPr>
        <w:spacing w:before="120" w:after="120" w:line="360" w:lineRule="auto"/>
        <w:ind w:firstLine="720"/>
        <w:jc w:val="both"/>
        <w:rPr>
          <w:rFonts w:ascii="Times" w:eastAsia="Calibri" w:hAnsi="Times" w:cs="Times New Roman"/>
        </w:rPr>
      </w:pPr>
      <w:r w:rsidRPr="00E97E0B">
        <w:rPr>
          <w:rFonts w:ascii="Times" w:eastAsia="Calibri" w:hAnsi="Times" w:cs="Times New Roman"/>
        </w:rPr>
        <w:t>Kimlik inşasıyla alakalı bir diğer bir önemli isim olan realist yaklaşımın temsilcisi Mearsheimer, ötekiliğin şekillenmesinde tehdit ve korkunun önemine vurgu yapmaktadır. Mearsheimer’a göre bu konuda uygulanan bir korku tellallığı, grup içi dayanışmanın da kuvvetlenmesini sağlayan bir unsurdur. Bu durum aynı zamanda güvenlik duygusu ile ilişkilendirilmektedir. Küçük tribal gruplarda bile var olan ve kimliğin kuruluşuyla ilişkilendirilebilecek bu psikolojik süreç, uluslararası ilişkilerde de anlamı olan bir unsur olarak değerlendirilmektedir. Ayrıca, Mearsheimer, yalan söylemenin kimlik inşası ve korku tellallığı bağlamındaki işlevselliği üzerinde durmuştur.</w:t>
      </w:r>
      <w:r w:rsidRPr="00E97E0B">
        <w:rPr>
          <w:rStyle w:val="FootnoteReference"/>
          <w:rFonts w:ascii="Times" w:eastAsia="Calibri" w:hAnsi="Times" w:cs="Times New Roman"/>
        </w:rPr>
        <w:footnoteReference w:id="152"/>
      </w:r>
      <w:r w:rsidRPr="00E97E0B">
        <w:rPr>
          <w:rFonts w:ascii="Times" w:eastAsia="Calibri" w:hAnsi="Times" w:cs="Times New Roman"/>
        </w:rPr>
        <w:t xml:space="preserve"> </w:t>
      </w:r>
    </w:p>
    <w:p w14:paraId="1E5F031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Bunlara ilave olarak kimlik süreç teorisi gibi kimliği sosyo-psikolojik pencereden tanımlayan teoriler de mevcuttur. Breakwell özümseme-bağdaştırma ve değerlendirme süreçlerine ayırdığı kuramı şu şekilde açıklar; özümseme-bağdaştırma safhasında kimlik, kimlik yapısına dair bilgilerin kimlik yapısına eklemlenmesi ve uyumlu olacak şekilde ayarlanmasını içerirken buna müteakkip değerlendirme süreci içeriğe dair anlam ve değerin müzakeresini ve değerlendirmesini içerir. Breakwell dört genel geçer kimlik ilkesi tanımlar; bunların ilki zaman ve duruma dair devamlılık ilkesi, ötekilerde biriciklik olma yahut ayırt edilemez olma ilkesi, özyeterlilik ilkesi, öz saygı ilkesidir. Aynı zamanda kimliğin önemli bir bileşeninin de değerler bütünleri olduğunu ve fakat bu değerler bütününün aslında o bütün içinde yer alanlar tarafından mükemmelen paylaşılamayacağını belirtmeye gerek yoktur.</w:t>
      </w:r>
      <w:r w:rsidRPr="00E97E0B">
        <w:rPr>
          <w:rFonts w:ascii="Times" w:eastAsia="Calibri" w:hAnsi="Times" w:cs="Times New Roman"/>
          <w:sz w:val="24"/>
          <w:szCs w:val="24"/>
          <w:vertAlign w:val="superscript"/>
        </w:rPr>
        <w:footnoteReference w:id="153"/>
      </w:r>
      <w:r w:rsidRPr="00E97E0B">
        <w:rPr>
          <w:rFonts w:ascii="Times" w:eastAsia="Calibri" w:hAnsi="Times" w:cs="Times New Roman"/>
          <w:sz w:val="24"/>
          <w:szCs w:val="24"/>
        </w:rPr>
        <w:t xml:space="preserve">  Kimlik Teorisi ve Kimlik Süreçleri Teorisi birbirlerinden ayrılmaktadır. Kimlik teorisi “etkileşimsel </w:t>
      </w:r>
      <w:r w:rsidRPr="00E97E0B">
        <w:rPr>
          <w:rFonts w:ascii="Times" w:eastAsia="Calibri" w:hAnsi="Times" w:cs="Times New Roman"/>
          <w:sz w:val="24"/>
          <w:szCs w:val="24"/>
        </w:rPr>
        <w:lastRenderedPageBreak/>
        <w:t>ihtimallere” ve sembolik etkileşimi merkeze alarak vurgu yaparken kimlik süreçleri teorisi bunu Moscovici'nin Sosyal Temsiller Teorisi üzerinden anlamaktadır.</w:t>
      </w:r>
      <w:r w:rsidRPr="00E97E0B">
        <w:rPr>
          <w:rFonts w:ascii="Times" w:eastAsia="Calibri" w:hAnsi="Times" w:cs="Times New Roman"/>
          <w:sz w:val="24"/>
          <w:szCs w:val="24"/>
          <w:vertAlign w:val="superscript"/>
        </w:rPr>
        <w:footnoteReference w:id="154"/>
      </w:r>
      <w:r w:rsidRPr="00E97E0B">
        <w:rPr>
          <w:rFonts w:ascii="Times" w:eastAsia="Calibri" w:hAnsi="Times" w:cs="Times New Roman"/>
          <w:sz w:val="24"/>
          <w:szCs w:val="24"/>
        </w:rPr>
        <w:t xml:space="preserve"> </w:t>
      </w:r>
    </w:p>
    <w:p w14:paraId="3E056B55" w14:textId="77777777" w:rsidR="002858AE" w:rsidRPr="00E97E0B" w:rsidRDefault="002858AE" w:rsidP="00E93FD2">
      <w:pPr>
        <w:pStyle w:val="Heading3"/>
      </w:pPr>
      <w:bookmarkStart w:id="84" w:name="_Toc141133075"/>
      <w:r w:rsidRPr="00E97E0B">
        <w:t>2.4.2. Postmodernizm</w:t>
      </w:r>
      <w:bookmarkEnd w:id="84"/>
      <w:r w:rsidRPr="00E97E0B">
        <w:t xml:space="preserve"> </w:t>
      </w:r>
    </w:p>
    <w:p w14:paraId="70F372A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Postmodernizmin en temel öğelerinden temelcilik karşıtlığı, aslında modernizmin getirdiği mutlak hakikatleri yıkmayı amaçlamaktadır. Bununla birlikte lineer tarihin ve öznenin sonunun da geldiği savunulmuştur. Bununla birlikte birbirine oldukça ters fikirlere sahip düşünürlerin postmodern olarak değerlendirilmesi, postmodernizmin tanımındaki muğlaklığı teyit eder niteliktedir.</w:t>
      </w:r>
      <w:r w:rsidRPr="00E97E0B">
        <w:rPr>
          <w:rFonts w:ascii="Times" w:eastAsia="Calibri" w:hAnsi="Times" w:cs="Times New Roman"/>
          <w:sz w:val="24"/>
          <w:szCs w:val="24"/>
          <w:vertAlign w:val="superscript"/>
        </w:rPr>
        <w:footnoteReference w:id="155"/>
      </w:r>
      <w:r w:rsidRPr="00E97E0B">
        <w:rPr>
          <w:rFonts w:ascii="Times" w:eastAsia="Calibri" w:hAnsi="Times" w:cs="Times New Roman"/>
          <w:sz w:val="24"/>
          <w:szCs w:val="24"/>
        </w:rPr>
        <w:t xml:space="preserve"> Bu çerçevede postmodernliğin aslında bir ortak kopuşun adı olarak tanımlamak da mümkündür, çünkü ortak kopuşa ortak olan ancak postmodernizmin doğası gereği çeşitli olan düşünürlerin ve postmodern çağın düşünürlerinin ortak bir hakikatte buluşmaları beklenemez. Diğer taraftan evrenselliğe de karşı olan postmodernizm kendi içerisinde bir çelişkiyi besler bir görünüme de sahiptir; meta-anlatıların baskın reddiyesi kendi başına amacı yalnızca yapısöküm olan bir anlatıya dönüşme riskini içermektedir. Bununla birlikte postmodernizmin yeniden inşacı bir yaklaşımla modernizmin törpülenmesine yönelik katkısı önemlidir.</w:t>
      </w:r>
    </w:p>
    <w:p w14:paraId="46820AD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Lyotard’ın meşrulaştırma tanımı postmodernizmin en temel eleştirilerinden bir tanesinin hâkim hakikatlerin de aslında belirli bir insan veya insan grubu tarafından oluşturulduğunu ima etmektedir. Ona göre meşrulaştırma “bir yasa koyucunun bir norm olarak kanun yapma yetkisini kendisine atfetmesiyle gerçekleşen bir süreçtir.”</w:t>
      </w:r>
      <w:r w:rsidRPr="00E97E0B">
        <w:rPr>
          <w:rFonts w:ascii="Times" w:eastAsia="Calibri" w:hAnsi="Times" w:cs="Times New Roman"/>
          <w:sz w:val="24"/>
          <w:szCs w:val="24"/>
          <w:vertAlign w:val="superscript"/>
        </w:rPr>
        <w:footnoteReference w:id="156"/>
      </w:r>
      <w:r w:rsidRPr="00E97E0B">
        <w:rPr>
          <w:rFonts w:ascii="Times" w:eastAsia="Calibri" w:hAnsi="Times" w:cs="Times New Roman"/>
          <w:sz w:val="24"/>
          <w:szCs w:val="24"/>
        </w:rPr>
        <w:t xml:space="preserve"> Bu anlamda post-modernizm söz konusu meşruiyetin temelini dinamitler. Bu bağlamda da postmodernizmin alt kültürleri yüceltmeye yöneldiğine dair eleştiriler daha anlaşılır görünmektedir; modernist anlayışın bilgi egemenliği savunusuna karşı çok değerlilik ve mutlak doğru ve doğrulukları yıkma düşüncesi kendini gösterir.</w:t>
      </w:r>
      <w:r w:rsidRPr="00E97E0B">
        <w:rPr>
          <w:rFonts w:ascii="Times" w:eastAsia="Calibri" w:hAnsi="Times" w:cs="Times New Roman"/>
          <w:sz w:val="24"/>
          <w:szCs w:val="24"/>
          <w:vertAlign w:val="superscript"/>
        </w:rPr>
        <w:footnoteReference w:id="157"/>
      </w:r>
    </w:p>
    <w:p w14:paraId="05E5DCE7"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Günümüz siyasal söylemleri ve anlayışına postmodernizmin hakikat anlayışı üzerinden yaptığı revizyon hem bir itiraz ve eleştiri hem de bazen kabul ve eklemlenme olarak kendisini gösterip bizi son yılların siyasi literatüründe sıkça karşımıza çıkacak hakikatin önemsizleşmesi kavramını daha çok konuşur hale getirmiştir. Postmodernizmin post-truth kavramına özellikle dilin kullanımı merkezinde önemli bir felsefi altyapı hazırladığını savunabiliriz.</w:t>
      </w:r>
    </w:p>
    <w:p w14:paraId="5E584FC0" w14:textId="0AE8ED93" w:rsidR="002858AE" w:rsidRPr="00E97E0B" w:rsidRDefault="002858AE" w:rsidP="00E93FD2">
      <w:pPr>
        <w:pStyle w:val="Heading3"/>
      </w:pPr>
      <w:bookmarkStart w:id="88" w:name="_Toc141133076"/>
      <w:r w:rsidRPr="00E97E0B">
        <w:t>2.4.</w:t>
      </w:r>
      <w:r w:rsidR="00D020A6" w:rsidRPr="00E97E0B">
        <w:t>3</w:t>
      </w:r>
      <w:r w:rsidRPr="00E97E0B">
        <w:t>. Postmodern Söylem Yaklaşımı</w:t>
      </w:r>
      <w:bookmarkEnd w:id="88"/>
    </w:p>
    <w:p w14:paraId="7CF85DAD" w14:textId="77777777" w:rsidR="002858AE" w:rsidRPr="00E97E0B" w:rsidRDefault="002858AE" w:rsidP="002858AE">
      <w:pPr>
        <w:spacing w:before="120" w:after="120" w:line="360" w:lineRule="auto"/>
        <w:ind w:firstLine="720"/>
        <w:jc w:val="both"/>
        <w:rPr>
          <w:rFonts w:ascii="Times" w:eastAsia="Calibri" w:hAnsi="Times" w:cs="Times New Roman"/>
          <w:color w:val="000000"/>
          <w:sz w:val="24"/>
          <w:szCs w:val="24"/>
        </w:rPr>
      </w:pPr>
      <w:r w:rsidRPr="00E97E0B">
        <w:rPr>
          <w:rFonts w:ascii="Times" w:eastAsia="Calibri" w:hAnsi="Times" w:cs="Times New Roman"/>
          <w:sz w:val="24"/>
          <w:szCs w:val="24"/>
        </w:rPr>
        <w:t xml:space="preserve">Postmodern kavramının içeriği içinde bulunduğumuz çağ içinde sosyal bilimler alanında en son kullanılan kapsamlı terimlerden biri olması nedeniyle son derece tartışmalıdır. Postmodern kavramını tanımlamak oldukça zor olduğundan bileşenlerini sıralamak ve kendisine karşı bir durum olmakla tanımladığı modernizmin hangi bileşenlerine veya özelliklerine ne gibi itirazları önerdiği üzerinden anlamak mümkün olabilmiştir. Postmodern ismi de, en azından şimdilik, kendisinden önceki dönemin ismi üzerinde inşa edilmiştir. Belki de bu dönemi geride bırakan yeni dönem ve adı iyice belirginleştikten sonra bu dönemin içinde olmadığımızdan onu daha etraflıca ve daha soğukkanlı bir şekilde </w:t>
      </w:r>
      <w:r w:rsidRPr="00E97E0B">
        <w:rPr>
          <w:rFonts w:ascii="Times" w:eastAsia="Calibri" w:hAnsi="Times" w:cs="Times New Roman"/>
          <w:color w:val="000000"/>
          <w:sz w:val="24"/>
          <w:szCs w:val="24"/>
        </w:rPr>
        <w:t>yorumlayabileceğiz. Bu dönem veya akımın ismindeki Modern kelimesi Modernizmin bir antitezi olma eğiliminden de kaynaklanmaktadır. Postmodernizm kavramı akla geldiğinde bu özelliği belirgin olarak zihinlerde belirmektedir. Bazı kuramcılar postmodernizmi henüz olgunlaşmamış ve hatta modernizmin sonrasını ifade eden bir kavram olarak görmekle yetinir.</w:t>
      </w:r>
      <w:r w:rsidRPr="00E97E0B">
        <w:rPr>
          <w:rFonts w:ascii="Times" w:eastAsia="Calibri" w:hAnsi="Times" w:cs="Times New Roman"/>
          <w:color w:val="000000"/>
          <w:sz w:val="24"/>
          <w:szCs w:val="24"/>
          <w:vertAlign w:val="superscript"/>
        </w:rPr>
        <w:footnoteReference w:id="158"/>
      </w:r>
      <w:r w:rsidRPr="00E97E0B">
        <w:rPr>
          <w:rFonts w:ascii="Times" w:eastAsia="Calibri" w:hAnsi="Times" w:cs="Times New Roman"/>
          <w:color w:val="000000"/>
          <w:sz w:val="24"/>
          <w:szCs w:val="24"/>
        </w:rPr>
        <w:t xml:space="preserve"> Habermas gibi düşünürler ise bunu modernizm karşıtlığı ve onu yıkma girişimi olarak görür.</w:t>
      </w:r>
      <w:r w:rsidRPr="00E97E0B">
        <w:rPr>
          <w:rFonts w:ascii="Times" w:eastAsia="Calibri" w:hAnsi="Times" w:cs="Times New Roman"/>
          <w:color w:val="000000"/>
          <w:sz w:val="24"/>
          <w:szCs w:val="24"/>
          <w:vertAlign w:val="superscript"/>
        </w:rPr>
        <w:footnoteReference w:id="159"/>
      </w:r>
      <w:r w:rsidRPr="00E97E0B">
        <w:rPr>
          <w:rFonts w:ascii="Times" w:eastAsia="Calibri" w:hAnsi="Times" w:cs="Times New Roman"/>
          <w:color w:val="000000"/>
          <w:sz w:val="24"/>
          <w:szCs w:val="24"/>
        </w:rPr>
        <w:t xml:space="preserve"> </w:t>
      </w:r>
    </w:p>
    <w:p w14:paraId="5F2EA963" w14:textId="77777777" w:rsidR="002858AE" w:rsidRPr="00E97E0B" w:rsidRDefault="002858AE" w:rsidP="002858AE">
      <w:pPr>
        <w:spacing w:before="120" w:after="120" w:line="360" w:lineRule="auto"/>
        <w:ind w:firstLine="720"/>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 xml:space="preserve">Modernizm-Postmodernizm karşıtlığının seyrine bakıldığında antik çağdaki septiklerle siniklerin dönemin daha egemen olan Platoncu ve Aristocu yani dönemine göre idealist ve realist akımlara karşı duruşuna benzediği düşünce tarihinin binlerce yıl sonra yine paralel bir fikir çatışmasına sahne olduğu izlenimi hasıl olmaktadır. Akılcılık ve Aydınlanma değerlerinin bir ürünü olan modernizmle ilgili bu tartışmalarının ayyuka çıktığı 20. yüzyılın ortalarında, modernizmin </w:t>
      </w:r>
      <w:r w:rsidRPr="00E97E0B">
        <w:rPr>
          <w:rFonts w:ascii="Times" w:eastAsia="Calibri" w:hAnsi="Times" w:cs="Times New Roman"/>
          <w:color w:val="000000"/>
          <w:sz w:val="24"/>
          <w:szCs w:val="24"/>
        </w:rPr>
        <w:lastRenderedPageBreak/>
        <w:t>birbirine rakip olan iki temel ayağı olarak kabul edebileceğimiz liberalizm ve sosyalizm de kendilerini, rekabet halinde olmalarına rağmen temelleri olan akılcılık ve aydınlanmaya savaş açan şüpheci ve hatta “yıkıcı” bir düşüncenin saldırısı altında buluyorlardı.</w:t>
      </w:r>
    </w:p>
    <w:p w14:paraId="1C251867" w14:textId="77777777" w:rsidR="002858AE" w:rsidRPr="00E97E0B" w:rsidRDefault="002858AE" w:rsidP="002858AE">
      <w:pPr>
        <w:spacing w:before="120" w:after="120" w:line="360" w:lineRule="auto"/>
        <w:ind w:firstLine="720"/>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 xml:space="preserve">Postmodernizm, dilin gerçeği yansıtmaya yatkın olmadığını söyler. Bunun nedeni ise dilin bir insan icadı olması nedeniyle gerçeği değil, insanların bireysel ya da kolektif düzeyde zihinlerinde işleyerek ürettikleri gerçekliği veya gerçeklikleri üretmesidir. Gerçek ile gerçekliğin kesişmesi pekâlâ mümkün olmakla birlikte gerçekliğin gerçeği tam olarak yansıtması beklenemeyeceğinden dile ve söyleme her zaman kuşkuyla yaklaşmak postmodernizmin ayırt edici bir tavrıdır.     </w:t>
      </w:r>
    </w:p>
    <w:p w14:paraId="5625EE4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Postmodern yoruma göre felsefenin kaynağını esasen bilinç değil dil oluşturmaktadır. Dilin içinde bulunan yapılar kendi aralarında kurdukları ilişki üzerinden anlamı kurgularlar. Baudrillard’ın imge kavramının değişimi üzerinden açıkladığı ve bir gerçeğin yerine gerçekliğin gerçeğe dönüştüğü iddiasıyla simülasyonun gerçeğin yerini alması olgusu postmodern paradigmayı açıklamak için uygun bir yaklaşımdır. Gerçek bu durumda kaybolduğundan bir şekilde anlatılma ihtimali de kalmamıştır. İşlemsel gerçek kavramıyla dile getirilen ve unsurların kombine edilmesi yoluyla meydana gelen gerçek defalarca ve farklı şekillerde yeniden oluşturulabilmekte ve oluşturulmaktadır; bu nedenle de aslı yerine göstergelerinin gerçek olduğu bir simülasyonlar evreninden bahsedilir. Bu simülasyonların bir hipergerçeği temsil ettiği savunulur. Gerçekliğin nasıl bir yıkıma uğratıldığına dair eleştirisinde Tanrı üzerinden verilen örnek ilginçtir. Bizans döneminde ikonları yıkanların ikonların Tanrı’nın varlığını ve özelliklerini dolaylı olarak temsil etmenin onları değersizleştirdiğini savunmuş olmasından bahseden Baudrillard, ikonları savunanların bugünkü versiyonlarını da aslında imgelerle oynayarak Tanrı yaratma oyunu oynadıklarından ve bunun aslında olmayan bir Tanrı üzerinden oynanan bir oyun olduğunu düşündüklerinden bahseder. Postmodern ikonolatrların imgelerin ardından saklanan şeyin koca bir boşluk olduğunu “bildiklerinden” ancak bu durumu açığa kavuşturmanın onlar açısından tehlikeli olduğundan bahseder. Tanrı örneğinden devam edilecek olursa Tanrı iktidar gösterisi aracına çevrilerek yok edilmiştir ve imgelerin arkasına saklanan gerçek ise iktidarın politikacıların eline geçtiğidir. Tanrı’ya olan inanç bile </w:t>
      </w:r>
      <w:r w:rsidRPr="00E97E0B">
        <w:rPr>
          <w:rFonts w:ascii="Times" w:eastAsia="Calibri" w:hAnsi="Times" w:cs="Times New Roman"/>
          <w:sz w:val="24"/>
          <w:szCs w:val="24"/>
        </w:rPr>
        <w:lastRenderedPageBreak/>
        <w:t>göstergelerine indirgenebiliyorsa bütün sistem bir simülakra dönüşür. Burada imge ilk etapta derin gerçekliğin yansıması iken, daha sonra onu değiştiren ve ardından gizleyen, ardından onun yokluğunu gizleyen ve son aşamada gerçeklikten tamamen koparak kendi kendinin saf bir simülarkı olur.</w:t>
      </w:r>
      <w:r w:rsidRPr="00E97E0B">
        <w:rPr>
          <w:rFonts w:ascii="Times" w:eastAsia="Calibri" w:hAnsi="Times" w:cs="Times New Roman"/>
          <w:sz w:val="24"/>
          <w:szCs w:val="24"/>
          <w:vertAlign w:val="superscript"/>
        </w:rPr>
        <w:footnoteReference w:id="160"/>
      </w:r>
      <w:r w:rsidRPr="00E97E0B">
        <w:rPr>
          <w:rFonts w:ascii="Times" w:eastAsia="Calibri" w:hAnsi="Times" w:cs="Times New Roman"/>
          <w:sz w:val="24"/>
          <w:szCs w:val="24"/>
        </w:rPr>
        <w:t xml:space="preserve"> </w:t>
      </w:r>
    </w:p>
    <w:p w14:paraId="0833D35F"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Postmodern terimi ilk olarak sanatta ressam John Watkins Chapman tarafından 19. yüzyılda kullanılmıştır, bu anlam aslında o günün öncü sanatını çağının önünde olarak tanımlamak için sarf edilen bir sözdür. Ancak daha sonra Rudolf Pannowitz tarafından bugünkü anlamının ilk nüvesini oluşturacak şekilde kültürel çöküşten bahsederken kullanır. Kavramın önce sanatta daha sonra kültür ve değerler sistemini betimlerken kullanılması çarpıcıdır; sanatın içine doğan kavramın hem duygu hem de fikir dünyasının temel tartışmalarından birinin anahtar kavramı olması aslında postmodernizm sorunsalının köklerinin ne denli derin olduğunu düşündürmektedir. Aslında postmodernizmin en önemli öncü düşünürlerinden Nietzsche’nin fikirleri sonradan bu kavramın kullanılmasıyla daha belirgin bir şekilde kavramsallaşacaktır. İkinci dünya savaşının ardından tarihçi Tonybee 1875 sonrası için bu kavramı kullandı. Kavramın içini anarşi ve total görecelikçilik olarak doldurması ve bunu bir tehlike olarak betimlemesi dikkate değerdir. Yine benzer bir şekilde Bernard Rosenberg’in postmodern dünyayı muğlak ve tehditkâr bulması, postmodern kavramının sosyal bilimler bağlamında ortaya çıkan ilk tanımlamalarının ufukta görülmeye başlanan bir tehlikeye işaret ettiğini göstermektedir. Wright Mills ise ilk bakışta meseleye ise daha geniş bir çerçeveden yaklaşarak Aydınlanma düşüncesinin ve rasyonalitenin iki çocuğu olan son iki yüzyılın iki rakip ideolojisinin hiçbirinin, özgürlüğü kaçınılmaz olarak insana sunacağı iddiasının ikna edici olmadığını savunmuştur. 1950’lerin sonunda Peter Drucker gibi postmodernizmi epey olumlu karşılayan ve pek çok sosyo-ekonomik sorunun çözümünün müjdecisi olduğunu savunanlar da olmuştur. 1960’lı yıllarda benzerliklerden çok farklılıkların önem kazandığına ve tarihte sürekliliğin aksine kırılma ve kopmalara vurgu yapan ise Geoffrey Barraclough olmuştur.</w:t>
      </w:r>
      <w:r w:rsidRPr="00E97E0B">
        <w:rPr>
          <w:rFonts w:ascii="Times" w:eastAsia="Calibri" w:hAnsi="Times" w:cs="Times New Roman"/>
          <w:sz w:val="24"/>
          <w:szCs w:val="24"/>
          <w:vertAlign w:val="superscript"/>
        </w:rPr>
        <w:footnoteReference w:id="161"/>
      </w:r>
    </w:p>
    <w:p w14:paraId="47409D5B"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Diğer yandan 1970’li yıllarda sanatta aşağı ve üst sanat ayrımının kalktığı ve sanatın kitle kültürü olarak yer edinmesi savunulmaya başlanmıştır. Buradaki kitle savunusu sonraları birey savunusu halinde de görülecektir. Baudrillard bunu “Bir şeyleri gizleyen göstergeler aşamasından gösterilecek bir şey kalmadığını gizleyen göstergeler aşamasına geçiş” olarak tanımlamakta ve bu sistem içinde gerçeklerin birbiriyle yarıştığı ve aralarında ayrım yapma imkanının kalmadığını belirtmektedir.</w:t>
      </w:r>
      <w:r w:rsidRPr="00E97E0B">
        <w:rPr>
          <w:rFonts w:ascii="Times" w:eastAsia="Calibri" w:hAnsi="Times" w:cs="Times New Roman"/>
          <w:sz w:val="24"/>
          <w:szCs w:val="24"/>
          <w:vertAlign w:val="superscript"/>
        </w:rPr>
        <w:footnoteReference w:id="162"/>
      </w:r>
      <w:r w:rsidRPr="00E97E0B">
        <w:rPr>
          <w:rFonts w:ascii="Times" w:eastAsia="Calibri" w:hAnsi="Times" w:cs="Times New Roman"/>
          <w:sz w:val="24"/>
          <w:szCs w:val="24"/>
        </w:rPr>
        <w:t xml:space="preserve"> Ayrıca literatürde dördüncü erk olarak da geçen medyadaki postmodern gerçekliğin bunun da ötesine geçerek gerçekten daha gerçek ve geçerli bir hal aldığı da belirtilir. Hipergerçekliğin kat ettiği yol sayesinde artık gerçeğin belirleyicisi konumunu kazandığı savlanabilir. Hipergerçeklik nedeniyle yaşam biçim ve modellerinin, şeylerin ideal versiyonlarının tasarlandığı ve toplum zihnindeki ortak gerçekliğin bu şekilde yeniden oluşturulabildiği söylenebilir. Modeller tekrar edildiğinden ve bir deneyimi yapılandırdığından bir süre sonra gerçekle simülasyon arasındaki ayrım silikleşir. Gerçekliğin önüne getirilen hiper eki aslında gerçeğin gerçekliğinin hiper gerçeklikten daha az gerçek hale geldiğini vurgulamak içindir. Postmodern medya ortamında gündelik bilgi, eğlence, imaj ve siyaset arasındaki hudut patlayıp içe göçer. Siyasi kampanyalarda bu durum daha da gözle görünür hale gelir. İmajın içerik karşısında giderek daha fazla önem kazandığı bir ortamda siyasi kampanyalar giderek imaj odaklı hale gelmiştir. Eskiden bu içe doğru bir göçme yerine dışa doğru bir patlama ve saçılmanın olduğunu söyleyen Baudrillard toplumsal farklılaşmaları, bilim ve teknolojinin ilerlemesini, yaygınlaşan ve büyüyen üretimi, ulus devleti ve değerleri bu saçılma kapsamında değerlendirmişti. Özellikle medya vasıtasıyla oluşturulan -ki buna son on beş yılda iyice yaygınlaşan sosyal medyayı ve internet ağı kapsamında kalan forumları da dahil edebiliriz- anlam işleme (semiurji) artık bu içe doğru göçmeyi iyice perçinlemiş bu nedenle de enformasyon bombardımanına maruz kalan kitleler artık yıldığından toplumsallık özellikleri silikleşmiştir. Anlam işleme kavramı Baudrillard’da modern kapitalizmdeki maden işlemenin postmodern versiyonunun anlam işlemeye dönüştüğüne vurgu yapmak için ortaya koyulmuştur.</w:t>
      </w:r>
      <w:r w:rsidRPr="00E97E0B">
        <w:rPr>
          <w:rFonts w:ascii="Times" w:eastAsia="Calibri" w:hAnsi="Times" w:cs="Times New Roman"/>
          <w:sz w:val="24"/>
          <w:szCs w:val="24"/>
          <w:vertAlign w:val="superscript"/>
        </w:rPr>
        <w:footnoteReference w:id="163"/>
      </w:r>
      <w:r w:rsidRPr="00E97E0B">
        <w:rPr>
          <w:rFonts w:ascii="Times" w:eastAsia="Calibri" w:hAnsi="Times" w:cs="Times New Roman"/>
          <w:sz w:val="24"/>
          <w:szCs w:val="24"/>
        </w:rPr>
        <w:t xml:space="preserve"> Siyasi </w:t>
      </w:r>
      <w:r w:rsidRPr="00E97E0B">
        <w:rPr>
          <w:rFonts w:ascii="Times" w:eastAsia="Calibri" w:hAnsi="Times" w:cs="Times New Roman"/>
          <w:sz w:val="24"/>
          <w:szCs w:val="24"/>
        </w:rPr>
        <w:lastRenderedPageBreak/>
        <w:t>ideolojiler; sınıflar, kültürel biçimler bu bilgi yığınına sürekli maruz kaldığından anlam dünyaları da altüst olur.</w:t>
      </w:r>
      <w:r w:rsidRPr="00E97E0B">
        <w:rPr>
          <w:rFonts w:ascii="Times" w:eastAsia="Calibri" w:hAnsi="Times" w:cs="Times New Roman"/>
          <w:sz w:val="24"/>
          <w:szCs w:val="24"/>
          <w:vertAlign w:val="superscript"/>
        </w:rPr>
        <w:footnoteReference w:id="164"/>
      </w:r>
      <w:r w:rsidRPr="00E97E0B">
        <w:rPr>
          <w:rFonts w:ascii="Times" w:eastAsia="Calibri" w:hAnsi="Times" w:cs="Times New Roman"/>
          <w:sz w:val="24"/>
          <w:szCs w:val="24"/>
        </w:rPr>
        <w:t xml:space="preserve"> </w:t>
      </w:r>
    </w:p>
    <w:p w14:paraId="14E18E9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Söylem alanında geçtiğimiz yüzyılın kuşkusuz en önemli düşünürlerinden biri de Michel Foucault’dur. Foucault söylemi hem birey hem de tarih temelli okur. Birey de farklı dönemlerde farklı olaylar ve olgularla karşılaşarak birbirinden farklı hatta çelişkili olabilen söylemler geliştirebilir. Foucault’nun bize sağlamış olduğu bu teorik zemin oldukça önemlidir, zira siyasetçilerin söylemlerinde, Dijk’in belirttiği metinsel tutarlılığı ararken, bağlama dışarıdan bakan birinin kurabileceği türden mantık süzgeciyle metinler arası bir tutarlılık beklememek gerektiğini bu anlayıştan hareketle kavrayabiliriz. Bu nedenle bu çalışmada söylem ve içerik analizini eleştirel bir perspektifle gerçekleştirirken, siyasal aktörlerden yukarıda bahsedilen anlamda herhangi bir “tutarlılık” beklentisi içinde olunmayacağı gibi, bu anlamda noksanlıklara vurgu yapma ve bunun üzerinden siyasetçileri olumlu ya da olumsuz olarak değerlendirme yoluna gitmedim.</w:t>
      </w:r>
      <w:r w:rsidRPr="00E97E0B">
        <w:rPr>
          <w:rFonts w:ascii="Times" w:eastAsia="Calibri" w:hAnsi="Times" w:cs="Times New Roman"/>
          <w:sz w:val="24"/>
          <w:szCs w:val="24"/>
          <w:vertAlign w:val="superscript"/>
        </w:rPr>
        <w:footnoteReference w:id="165"/>
      </w:r>
      <w:r w:rsidRPr="00E97E0B">
        <w:rPr>
          <w:rFonts w:ascii="Times" w:eastAsia="Calibri" w:hAnsi="Times" w:cs="Times New Roman"/>
          <w:sz w:val="24"/>
          <w:szCs w:val="24"/>
          <w:vertAlign w:val="superscript"/>
        </w:rPr>
        <w:t xml:space="preserve"> </w:t>
      </w:r>
    </w:p>
    <w:p w14:paraId="2C280B3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1980’li yıllardan sonra postmodernizm kavramının kullanım alanı belirgin bir şekilde genişlemeye başlamıştır. Öyle ki bir şemsiye kavram haline gelerek yeni olan veya bir kavramın yeni versiyonu olan postyapısalcılık gibi çalışmamız açısında da önemli pek çok kavramı da kapsamına alacak biçimde postmodernizm kavramına başvurulmaya başlamıştır.  Pstmodernizmin belirgin felsefi özelliği ise genel bir şüphecilik akımı olmasıdır. Diğer yandan yapısalcılık, modernizm gibi akımların metotlarını ve ideolojik temellerini de reddeden bir kültürel harekettir.</w:t>
      </w:r>
    </w:p>
    <w:p w14:paraId="174377C8" w14:textId="77777777" w:rsidR="002858AE" w:rsidRPr="00E97E0B" w:rsidRDefault="002858AE" w:rsidP="002858AE">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Modernliğin özgürlük vaadini artık yerine getiremediği bir dünyada Aydınlanma öncesinde Tanrı ile sağlanan toplumsal düzen ve anlamlandırmanın bugün onu ortadan kaldırarak yerine özgürlüğü getirmek için insanı koyan modernliğin de kendisinden istenileni yapamadığı eleştirisini getiren Postmodernizm, Tanrı’dan menkul söylemin yerine Modernizm ile gelen İnsan Aklından menkul söylemin de artık özgürlük ihtiyacını karşılamadığını savunur. İnsanoğlu Tanrı’yı ortadan kaldırarak yerine kendini geçirse bile ondan kalan alanı doldurabilecek bir kapasiteye sahip değildir. Bununla beraber insan Tanrı’nın yerine kendini koyarak egemenlik kurmak istemiştir. Ancak yerine geçtiği varlığın </w:t>
      </w:r>
      <w:r w:rsidRPr="00E97E0B">
        <w:rPr>
          <w:rFonts w:ascii="Times" w:eastAsia="Calibri" w:hAnsi="Times" w:cs="Times New Roman"/>
          <w:sz w:val="24"/>
          <w:szCs w:val="24"/>
        </w:rPr>
        <w:lastRenderedPageBreak/>
        <w:t>kapasitesine sahip olmadığından ve bunu temin etmeye gayret sarf ettiğinden yeni bir baskı ve tahakküm biçimi kurmuş kurmuştur. Daha önceki özgürlük arayışında olduğu gibi Postmodernizm yeni bir özgürleştirici akım olarak ortaya çıkar.</w:t>
      </w:r>
      <w:r w:rsidRPr="00E97E0B">
        <w:rPr>
          <w:rFonts w:ascii="Times" w:eastAsia="Calibri" w:hAnsi="Times" w:cs="Times New Roman"/>
          <w:sz w:val="24"/>
          <w:szCs w:val="24"/>
          <w:vertAlign w:val="superscript"/>
        </w:rPr>
        <w:footnoteReference w:id="166"/>
      </w:r>
      <w:r w:rsidRPr="00E97E0B">
        <w:rPr>
          <w:rFonts w:ascii="Times" w:eastAsia="Calibri" w:hAnsi="Times" w:cs="Times New Roman"/>
          <w:sz w:val="24"/>
          <w:szCs w:val="24"/>
        </w:rPr>
        <w:t xml:space="preserve"> Bahsi geçen ‘iktidar değişimini’ demokrasilerde bir siyasal iktidarın seçmenin ihtiyaçlarına cevap verememeye başlamasıyla yerini başka bir iktidara bırakmasına benzetmek yerinde olacaktır. Modernizm özgürlük ihtiyacını artık karşılayamadığı gibi bir güç zehirlenmesi yaşayarak bir baskı aracına dönüştüğünden iktidarı devralmaya aday olan postmodernizm ile karşılanmıştır denilebilir. Bu noktada temelciliğe zıtlık oluşturacak biçimde temelsizliği savunur. Böylece tektipliliğe karşı çeşitlilik, katı pozitivist gerçekliğe ve evrenselliğe karşı izafiyet ve yine nedenselliğe karşı olumsallık ve belirsizlik savunulur. Postmodernizm anlam olarak hakikat anlatıları arasındaki hiyerarşiyle güçlü bir mücadelenin karşılıklarından biridir.</w:t>
      </w:r>
    </w:p>
    <w:p w14:paraId="29F3C047" w14:textId="4A2982E4" w:rsidR="002858AE" w:rsidRPr="00E97E0B" w:rsidRDefault="002858AE" w:rsidP="002B7FA9">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Postmodernizmin, modernizmin getirdiği kavram ve birikime karşı çıkışı ve temelsizliğine yönelen yıkıcılık eleştirileri ilginç bir şekilde modernizmin yerine yeni bir temel getirememesi şeklinde eleştirilmesiyle cevaplandırılsa da</w:t>
      </w:r>
      <w:r w:rsidR="00D32BD9" w:rsidRPr="00E97E0B">
        <w:rPr>
          <w:rFonts w:ascii="Times" w:eastAsia="Calibri" w:hAnsi="Times" w:cs="Times New Roman"/>
          <w:sz w:val="24"/>
          <w:szCs w:val="24"/>
        </w:rPr>
        <w:t>,</w:t>
      </w:r>
      <w:r w:rsidRPr="00E97E0B">
        <w:rPr>
          <w:rFonts w:ascii="Times" w:eastAsia="Calibri" w:hAnsi="Times" w:cs="Times New Roman"/>
          <w:sz w:val="24"/>
          <w:szCs w:val="24"/>
        </w:rPr>
        <w:t xml:space="preserve"> postmodernizmin modernizmin üzerine yeni bir temel inşa etmek istediği varsayımı yersizdir; zira postmodernizm eskiden kalan temeli daha iyisini yapmak için yıkmak istememektedir. Aksine çeşitliliğin bir aradalığı ve birbiriyle girebilecekleri çatışmaları minimize etmeyi önermiş olmaktadır ki bu yeni bir temel arayışına tekabül etmez. </w:t>
      </w:r>
    </w:p>
    <w:p w14:paraId="07242416" w14:textId="49039989" w:rsidR="002858AE" w:rsidRPr="00E97E0B" w:rsidRDefault="00D020A6" w:rsidP="002B7FA9">
      <w:pPr>
        <w:pStyle w:val="Heading3"/>
        <w:rPr>
          <w:rFonts w:eastAsia="Calibri"/>
        </w:rPr>
      </w:pPr>
      <w:bookmarkStart w:id="92" w:name="_Toc141133077"/>
      <w:r w:rsidRPr="00E97E0B">
        <w:rPr>
          <w:rFonts w:eastAsia="Calibri"/>
        </w:rPr>
        <w:t>2</w:t>
      </w:r>
      <w:r w:rsidR="002858AE" w:rsidRPr="00E97E0B">
        <w:rPr>
          <w:rFonts w:eastAsia="Calibri"/>
        </w:rPr>
        <w:t>.</w:t>
      </w:r>
      <w:r w:rsidRPr="00E97E0B">
        <w:rPr>
          <w:rFonts w:eastAsia="Calibri"/>
        </w:rPr>
        <w:t>4</w:t>
      </w:r>
      <w:r w:rsidR="002858AE" w:rsidRPr="00E97E0B">
        <w:rPr>
          <w:rFonts w:eastAsia="Calibri"/>
        </w:rPr>
        <w:t>.</w:t>
      </w:r>
      <w:r w:rsidRPr="00E97E0B">
        <w:rPr>
          <w:rFonts w:eastAsia="Calibri"/>
        </w:rPr>
        <w:t>4</w:t>
      </w:r>
      <w:r w:rsidR="002858AE" w:rsidRPr="00E97E0B">
        <w:rPr>
          <w:rFonts w:eastAsia="Calibri"/>
        </w:rPr>
        <w:t>. Hakikatin Önemsizleşmesi</w:t>
      </w:r>
      <w:bookmarkEnd w:id="92"/>
    </w:p>
    <w:p w14:paraId="10890DA0" w14:textId="77777777" w:rsidR="002858AE" w:rsidRPr="00E97E0B" w:rsidRDefault="002858AE" w:rsidP="002858AE">
      <w:pPr>
        <w:spacing w:before="120" w:after="120" w:line="360" w:lineRule="auto"/>
        <w:jc w:val="both"/>
        <w:rPr>
          <w:rFonts w:ascii="Times" w:eastAsia="Calibri" w:hAnsi="Times" w:cs="Times New Roman"/>
          <w:sz w:val="24"/>
          <w:szCs w:val="24"/>
        </w:rPr>
      </w:pPr>
      <w:r w:rsidRPr="00E97E0B">
        <w:rPr>
          <w:rFonts w:ascii="Times" w:eastAsia="Calibri" w:hAnsi="Times" w:cs="Times New Roman"/>
          <w:sz w:val="24"/>
          <w:szCs w:val="24"/>
        </w:rPr>
        <w:tab/>
        <w:t xml:space="preserve">Hakikat sonrası diye de tercüme edilen </w:t>
      </w:r>
      <w:r w:rsidRPr="00E97E0B">
        <w:rPr>
          <w:rFonts w:ascii="Times" w:eastAsia="Calibri" w:hAnsi="Times" w:cs="Times New Roman"/>
          <w:i/>
          <w:iCs/>
          <w:sz w:val="24"/>
          <w:szCs w:val="24"/>
        </w:rPr>
        <w:t>post-truth</w:t>
      </w:r>
      <w:r w:rsidRPr="00E97E0B">
        <w:rPr>
          <w:rFonts w:ascii="Times" w:eastAsia="Calibri" w:hAnsi="Times" w:cs="Times New Roman"/>
          <w:sz w:val="24"/>
          <w:szCs w:val="24"/>
        </w:rPr>
        <w:t xml:space="preserve"> kavramının karşılığı olarak içeriğine daha uygun olduğunu Alpay’ın da dile getirdiği haliyle hakikatin önemsizleşmesi şeklinde kullanmak yerinde görünmektedir.</w:t>
      </w:r>
      <w:r w:rsidRPr="00E97E0B">
        <w:rPr>
          <w:rFonts w:ascii="Times" w:eastAsia="Calibri" w:hAnsi="Times" w:cs="Times New Roman"/>
          <w:sz w:val="24"/>
          <w:szCs w:val="24"/>
          <w:vertAlign w:val="superscript"/>
        </w:rPr>
        <w:footnoteReference w:id="167"/>
      </w:r>
      <w:r w:rsidRPr="00E97E0B">
        <w:rPr>
          <w:rFonts w:ascii="Times" w:eastAsia="Calibri" w:hAnsi="Times" w:cs="Times New Roman"/>
          <w:sz w:val="24"/>
          <w:szCs w:val="24"/>
        </w:rPr>
        <w:t xml:space="preserve"> Doğrunun ölçüsünü belirlemek anlamını da taşıyan hakikati arama ya da bulma iddiaları somut yapıları oluşturma amacını da taşır. Bununla birlikte somutlaşma ile de zaman içerisinde kalıplaşan ve dinamizmini kaybeden yapının isnat edildiği söylem hakikati </w:t>
      </w:r>
      <w:r w:rsidRPr="00E97E0B">
        <w:rPr>
          <w:rFonts w:ascii="Times" w:eastAsia="Calibri" w:hAnsi="Times" w:cs="Times New Roman"/>
          <w:sz w:val="24"/>
          <w:szCs w:val="24"/>
        </w:rPr>
        <w:lastRenderedPageBreak/>
        <w:t>kaçırmaya başlar ve bir retorik olarak donuk bir biçim alır.</w:t>
      </w:r>
      <w:r w:rsidRPr="00E97E0B">
        <w:rPr>
          <w:rFonts w:ascii="Times" w:eastAsia="Calibri" w:hAnsi="Times" w:cs="Times New Roman"/>
          <w:sz w:val="24"/>
          <w:szCs w:val="24"/>
          <w:vertAlign w:val="superscript"/>
        </w:rPr>
        <w:footnoteReference w:id="168"/>
      </w:r>
      <w:r w:rsidRPr="00E97E0B">
        <w:rPr>
          <w:rFonts w:ascii="Times" w:eastAsia="Calibri" w:hAnsi="Times" w:cs="Times New Roman"/>
          <w:sz w:val="24"/>
          <w:szCs w:val="24"/>
        </w:rPr>
        <w:t xml:space="preserve"> Kitlelerin bir haber karşısında takındıkları tavırla ilişkili olan post-truth kavramı da, içeriğini teyit etme gereği duymaksızın hatta içeriğinin yanlış olduğu belli olan veya yanlışlığı sonradan ortaya çıksa bile o haberi doğruymuş gibi kabul etmek ve buna göre davranmakla açıklanabilir. Aynı şekilde yine doğru olan bir haberin yanlışmış gibi kabul edilmesi ve bu şekilde davranılması da bu kapsamdadır. Bu, kamuoyunun genel yaklaşımını şekillendirdiği gibi nesnel olay ve olguların kamuyoyunu şekillendirmesinde önemini yitirmesi ile anlaşılabilir. Bu şekillendirmede en önemli rollerden birini de göndermelerin yine sahte bilgilere dayanan bir bilgi bütününden oluşacak olmasıdır. Hedef kitlesi gündelik yaşamları bilgiyi incelemek olmayan kamuoyundaki baskın çoğunluk olduğundan rasyonel düşünmeyi amaçlayan ve uzmanlaşmış daha küçük kesimlerin ikna olmaması hakikatin önemsizleşmesi çerçevesinde ihmal edilebilir bir kesimdir.</w:t>
      </w:r>
      <w:r w:rsidRPr="00E97E0B">
        <w:rPr>
          <w:rFonts w:ascii="Times" w:eastAsia="Calibri" w:hAnsi="Times" w:cs="Times New Roman"/>
          <w:sz w:val="24"/>
          <w:szCs w:val="24"/>
          <w:vertAlign w:val="superscript"/>
        </w:rPr>
        <w:footnoteReference w:id="169"/>
      </w:r>
      <w:r w:rsidRPr="00E97E0B">
        <w:rPr>
          <w:rFonts w:ascii="Times" w:eastAsia="Calibri" w:hAnsi="Times" w:cs="Times New Roman"/>
          <w:sz w:val="24"/>
          <w:szCs w:val="24"/>
        </w:rPr>
        <w:t xml:space="preserve"> Bu yapısal sorunun politik söylemlerin doğasına yansıması da kaçınılmaz görünmektedir. Gelişmelerin de baş döndürücü düzeyde hızlı ve çelişik olduğu bir ortamda ister istemez söylemler de hızlı çelişik, kitleye yönelik ve kısa süreli hedefi olan tepkisel nitelikleri barındırır olacaktır.</w:t>
      </w:r>
    </w:p>
    <w:p w14:paraId="74DC7E5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Günümüz insanı, bilgi çağı olarak da adlandırılan ve özellikle internet kullanımının ve iletişim teknolojilerinin hat safhaya ulaştığı son yirmi yılda bambaşka bir seviyede bir bilgi yağmuruna maruz kalmaktadır. Öyle ki sosyal medya ve benzeri iletişim araçları, internet portallarının yanı sıra artık dünyanın bir ucundan bir diğer ucuna bir bilgiyi iletmek gündelik yaşamda sıradan kimselerin bile birkaç saniye içinde yapabildiği doğal bir eylem olarak kanıksanmış durumdadır. Bu aynı zamanda farklı düşüncelerin ve birbiriyle tutarsız bilginin de hızlıca yayılmasına ve yayıldığı gibi işlenmesine de ortam hazırlamış bulunmaktadır. Öyle ki bir bilginin teyit edilmesi o bilginin yayımasına kıyasla çok daha yavaş bir şekilde mümkün olabilmekte ve bilgi teyit edilene kadar bilginin yanlışlanması ve geri adım atılması artık imkânsız hale gelebilmektedir. Bu durum o kadar rutin bir hale gelmiştir ki internette sahte hesaplarla dezenformasyon ve </w:t>
      </w:r>
      <w:r w:rsidRPr="00E97E0B">
        <w:rPr>
          <w:rFonts w:ascii="Times" w:eastAsia="Calibri" w:hAnsi="Times" w:cs="Times New Roman"/>
          <w:sz w:val="24"/>
          <w:szCs w:val="24"/>
        </w:rPr>
        <w:lastRenderedPageBreak/>
        <w:t xml:space="preserve">propaganda yapmak için çeşitli çıkar gruplarının hesabına profesyonel olarak çalışan ekiplerin düzenli bir şekilde faaliyetlerde bulundukları artık herkesin malumudur. Tıpkı reklam şirketlerinin faaliyetleri kadar doğal karşılanan bu tip kamuoyunu yönlendirme çalışmaları çıkar odakları için bir norm haline gelmiştir. </w:t>
      </w:r>
    </w:p>
    <w:p w14:paraId="49E82A9F"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Dahası bilgi bombardımanı ifadesiyle sık sık dile getirilen aşırı bilgi hareketliliği günlük hayatın bir parçası haline geldiğinden insan zihni ve psikolojisi büyük oranda duyarsızlaşmak ve günlük bilgiyi kısa süreli hafızada sürekli yenisiyle değiştirmek ve bu suretle yeni bilgiye anlık ve tepkisel yanıt vermeye uyum sağlama yoluna gitti. Gelen her enformasyonun enine boyuna tartışılmasının incelenmesinin ve teyit edilmesinin pratik olarak mümkün olmadığı bir ortamda artık hem duyarsızlaşmak hem güvenmemek hem de bilginin doğru olma durumunda dahi genel düşünce biçimini değiştirmemesi -zira yarın tam tersi yönde bir bilgi de pekâlâ doğru olarak karşımıza çıkabilir- gibi tutumlar edinilmektedir. </w:t>
      </w:r>
    </w:p>
    <w:p w14:paraId="6AB7ED3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Diğer bir taraftan haber kaynaklarının çokluğu ve haberlerin sıklığı pek çok “kötü” ve “iyi” habere sürekli maruz kalmayı da beraberinde getirdiğinden insanların duygusal olarak çok daha kırılgan ve kötümser olmasına da neden olabilmektedir. Dahası toplumsal ruh sağlığını olumsuz etkileyen haber sıklığı insanın baş etme kapasitesini aştığı görünümünü vermektedir. Bu hem insanların kötümser ve umutsuz olma ihtimallerini hem de kamuoyunun bilinçlenmesini ve tedbir alma veya yönetimlere baskı yaparak tedbir aldırma kabiliyetlerini dinç tutamama ihtimallerini artırmaktadır zira; insanlar bir yerden sonra kendilerini iyi hissettirecek yanlış enformasyonları kendilerini endişeye sokacak ve sürekli teyakkuzda olmalarını gerektirecek başedilemeyecek “kötü” haberlere tercih edecek ve </w:t>
      </w:r>
      <w:r w:rsidRPr="00E97E0B">
        <w:rPr>
          <w:rFonts w:ascii="Times" w:eastAsia="Calibri" w:hAnsi="Times" w:cs="Times New Roman"/>
          <w:i/>
          <w:iCs/>
          <w:sz w:val="24"/>
          <w:szCs w:val="24"/>
        </w:rPr>
        <w:t>yalancı çoban</w:t>
      </w:r>
      <w:r w:rsidRPr="00E97E0B">
        <w:rPr>
          <w:rFonts w:ascii="Times" w:eastAsia="Calibri" w:hAnsi="Times" w:cs="Times New Roman"/>
          <w:sz w:val="24"/>
          <w:szCs w:val="24"/>
        </w:rPr>
        <w:t xml:space="preserve"> örneğinin sonu gibi “iyi” haberlere inanmayı seçeceklerdir ve seçmeye meyletmektedirler.</w:t>
      </w:r>
      <w:r w:rsidRPr="00E97E0B">
        <w:rPr>
          <w:rFonts w:ascii="Times" w:eastAsia="Calibri" w:hAnsi="Times" w:cs="Times New Roman"/>
          <w:sz w:val="24"/>
          <w:szCs w:val="24"/>
          <w:vertAlign w:val="superscript"/>
        </w:rPr>
        <w:footnoteReference w:id="170"/>
      </w:r>
      <w:r w:rsidRPr="00E97E0B">
        <w:rPr>
          <w:rFonts w:ascii="Times" w:eastAsia="Calibri" w:hAnsi="Times" w:cs="Times New Roman"/>
          <w:sz w:val="24"/>
          <w:szCs w:val="24"/>
        </w:rPr>
        <w:t xml:space="preserve"> Dahası “tarihten ders almıyoruz” benzeri konuşma kalıplarını sık sık duymamıza neden olan pek çok olumsuz olayın toplumsal hafızadan bir şekilde silinmesinden toplumların her kesiminde kendi perspektifinden bir yakınmayı sıkça duyarız. Bu aynı zamanda insanların psikolojik olarak can sıkıcı tecrübeleri hatırlamaktan kaçınma davranışına güzel bir örnek olarak karşımıza çıkar.  Psikolojide yükleme (attribution) olarak bilinen bu kaçınma </w:t>
      </w:r>
      <w:r w:rsidRPr="00E97E0B">
        <w:rPr>
          <w:rFonts w:ascii="Times" w:eastAsia="Calibri" w:hAnsi="Times" w:cs="Times New Roman"/>
          <w:sz w:val="24"/>
          <w:szCs w:val="24"/>
        </w:rPr>
        <w:lastRenderedPageBreak/>
        <w:t>davranışının sosyal psikolojide de aşina olunan bir durum olduğunu rahatlıkla söyleyebiliriz.</w:t>
      </w:r>
    </w:p>
    <w:p w14:paraId="2D13BCC2" w14:textId="795EDE8D"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Bazen de toplumun veya belirli grupların öz saygısını zedeleyebilecek gerçek olan birtakım bilgilerin yerine gerçek olmayan alternatif bir bilgiye tercih edilebileceğinin anlaşılması ve bu yönde bilgi yayılmasının tercih edilmesi mümkündür. Bu durumda toplumsal davranış gerçeği yansıtmayan bilgiye inanmaya daha meyilli olabilir.</w:t>
      </w:r>
      <w:r w:rsidRPr="00E97E0B">
        <w:rPr>
          <w:rFonts w:ascii="Times" w:eastAsia="Calibri" w:hAnsi="Times" w:cs="Times New Roman"/>
          <w:sz w:val="24"/>
          <w:szCs w:val="24"/>
          <w:vertAlign w:val="superscript"/>
        </w:rPr>
        <w:footnoteReference w:id="171"/>
      </w:r>
      <w:r w:rsidRPr="00E97E0B">
        <w:rPr>
          <w:rFonts w:ascii="Times" w:eastAsia="Calibri" w:hAnsi="Times" w:cs="Times New Roman"/>
          <w:sz w:val="24"/>
          <w:szCs w:val="24"/>
        </w:rPr>
        <w:t xml:space="preserve"> Bu aynı zamanda komplo teorileri gibi karmaşık ve muğlak mahiyetteki gerçekliğin sahte açıklamaları olarak bir alternatif gerçeklik sunmasına ve böylece gerçeğin kitlelerce sağlıklı anlaşılmasına da ket vurabilmektedir. Tüm bu manzaranın ışığında toplumsal adaletsizliklerin giderek arttığı bir kürede toplumlar bir “afyon” olarak </w:t>
      </w:r>
      <w:r w:rsidRPr="00E97E0B">
        <w:rPr>
          <w:rFonts w:ascii="Times" w:eastAsia="Calibri" w:hAnsi="Times" w:cs="Times New Roman"/>
          <w:i/>
          <w:iCs/>
          <w:sz w:val="24"/>
          <w:szCs w:val="24"/>
        </w:rPr>
        <w:t>hakikat-ötesini</w:t>
      </w:r>
      <w:r w:rsidRPr="00E97E0B">
        <w:rPr>
          <w:rFonts w:ascii="Times" w:eastAsia="Calibri" w:hAnsi="Times" w:cs="Times New Roman"/>
          <w:sz w:val="24"/>
          <w:szCs w:val="24"/>
        </w:rPr>
        <w:t xml:space="preserve"> veya </w:t>
      </w:r>
      <w:r w:rsidRPr="00E97E0B">
        <w:rPr>
          <w:rFonts w:ascii="Times" w:eastAsia="Calibri" w:hAnsi="Times" w:cs="Times New Roman"/>
          <w:i/>
          <w:iCs/>
          <w:sz w:val="24"/>
          <w:szCs w:val="24"/>
        </w:rPr>
        <w:t>hakikatin önemsizleşmesini</w:t>
      </w:r>
      <w:r w:rsidRPr="00E97E0B">
        <w:rPr>
          <w:rFonts w:ascii="Times" w:eastAsia="Calibri" w:hAnsi="Times" w:cs="Times New Roman"/>
          <w:sz w:val="24"/>
          <w:szCs w:val="24"/>
        </w:rPr>
        <w:t xml:space="preserve"> zaman zaman satın almayı tercih ediyor görünmektedir.</w:t>
      </w:r>
      <w:r w:rsidRPr="00E97E0B">
        <w:rPr>
          <w:rFonts w:ascii="Times" w:eastAsia="Calibri" w:hAnsi="Times" w:cs="Times New Roman"/>
          <w:sz w:val="24"/>
          <w:szCs w:val="24"/>
          <w:vertAlign w:val="superscript"/>
        </w:rPr>
        <w:footnoteReference w:id="172"/>
      </w:r>
      <w:r w:rsidRPr="00E97E0B">
        <w:rPr>
          <w:rFonts w:ascii="Times" w:eastAsia="Calibri" w:hAnsi="Times" w:cs="Times New Roman"/>
          <w:sz w:val="24"/>
          <w:szCs w:val="24"/>
        </w:rPr>
        <w:t xml:space="preserve"> Zerilli, yakın zamana kadar hükümetlerin politik çıkarlarını gözetmek için bazı bilgileri gizlemek veya kasıtlı olarak yanlış bilgi vermek gibi yollara başvurduğunu ancak yakın zamanda bunun daha farklı bir boyut kazandığını iddia ediyor. Ona göre Arendt’in aldatma, kendini kandırma, imaj oluşturma, ideolojikleştirme ve olgusuzlaştırma gibi eylemler karşısında nihayetinde gerçeklik algısının üstün geleceğine dair bir öngörüsü ve kabulü artık yerini gerçek-ötesi dönemde doğruyla yanlış arasındaki ayrımın giderek silikleştiği bir anlayışa bırakmış görünmektedir.</w:t>
      </w:r>
      <w:r w:rsidRPr="00E97E0B">
        <w:rPr>
          <w:rFonts w:ascii="Times" w:eastAsia="Calibri" w:hAnsi="Times" w:cs="Times New Roman"/>
          <w:sz w:val="24"/>
          <w:szCs w:val="24"/>
          <w:vertAlign w:val="superscript"/>
        </w:rPr>
        <w:footnoteReference w:id="173"/>
      </w:r>
      <w:r w:rsidRPr="00E97E0B">
        <w:rPr>
          <w:rFonts w:ascii="Times" w:eastAsia="Calibri" w:hAnsi="Times" w:cs="Times New Roman"/>
          <w:sz w:val="24"/>
          <w:szCs w:val="24"/>
        </w:rPr>
        <w:t xml:space="preserve"> Diğer taraftan, olgusal hakikatlerin olumsal olmasından dolayı bir haberin öyle ya da başka türlü olmasının aslında genel kanıyı belirleyici bie şekilde değiştiremeyeceğini de öngörebiliriz. Dahası kanı ile hakikat arasındaki sınırın nerede başlayıp nerede bitmesi gerektiğini veya bittiğini kestirmek de oldukça karmaşık bir konudur. Hakikatin, insanların kanılarının dışında bir şey olması ile </w:t>
      </w:r>
      <w:r w:rsidRPr="00E97E0B">
        <w:rPr>
          <w:rFonts w:ascii="Times" w:eastAsia="Calibri" w:hAnsi="Times" w:cs="Times New Roman"/>
          <w:i/>
          <w:iCs/>
          <w:sz w:val="24"/>
          <w:szCs w:val="24"/>
        </w:rPr>
        <w:t>bana göre öyle</w:t>
      </w:r>
      <w:r w:rsidRPr="00E97E0B">
        <w:rPr>
          <w:rFonts w:ascii="Times" w:eastAsia="Calibri" w:hAnsi="Times" w:cs="Times New Roman"/>
          <w:sz w:val="24"/>
          <w:szCs w:val="24"/>
        </w:rPr>
        <w:t xml:space="preserve"> (dokei moi) öznelliğine düşme arasındaki sınırı objektif olarak belirlemek imkansıza yakın düzeyde zor olabilir.</w:t>
      </w:r>
      <w:r w:rsidRPr="00E97E0B">
        <w:rPr>
          <w:rFonts w:ascii="Times" w:eastAsia="Calibri" w:hAnsi="Times" w:cs="Times New Roman"/>
          <w:sz w:val="24"/>
          <w:szCs w:val="24"/>
          <w:vertAlign w:val="superscript"/>
        </w:rPr>
        <w:footnoteReference w:id="174"/>
      </w:r>
    </w:p>
    <w:p w14:paraId="741E8253" w14:textId="4F62F527" w:rsidR="00901F49" w:rsidRPr="00E97E0B" w:rsidRDefault="002858AE" w:rsidP="00901F49">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Genel olarak demokrasiye ve demokratik sistemlere olan güvenin zayıflaması, elitizme ve çoğulculuğa karşı olumsuz yaklaşımların karşılıklı olarak </w:t>
      </w:r>
      <w:r w:rsidRPr="00E97E0B">
        <w:rPr>
          <w:rFonts w:ascii="Times" w:eastAsia="Calibri" w:hAnsi="Times" w:cs="Times New Roman"/>
          <w:sz w:val="24"/>
          <w:szCs w:val="24"/>
        </w:rPr>
        <w:lastRenderedPageBreak/>
        <w:t xml:space="preserve">kuvvetlenerek toplumsal kutuplaşmaların ve popülizmin yükselmesi gibi nedenler postmodern çağda tekil hakikat anlayışının yerini daha esnek bir hakikat çerçevesine bırakması gibi nedenler hakikatin önemsizleşmesini besleyegelmektedir. Hakikatin önemsiz olduğu bir küresel ve ulusal ortamda esas olan kitleleri konsolide edecek ve siyasi reflekslerini diri tutacak konuşmalar başarı getirir olacaktır. Bu noktada söylemlerin muhatapları açısından ne söylendiği ve söylenin gerçekliğe ne derece tekabül ettiği iyice önemsizleşmektedir. Burada dinleyici kim kendisinin kim olduğuna kimin konuştuğuna ve ne amaçla söylediğine daha fazla değer verir olacaktır. Buradan hareketle </w:t>
      </w:r>
      <w:r w:rsidRPr="00E97E0B">
        <w:rPr>
          <w:rFonts w:ascii="Times" w:eastAsia="Calibri" w:hAnsi="Times" w:cs="Times New Roman"/>
          <w:i/>
          <w:iCs/>
          <w:sz w:val="24"/>
          <w:szCs w:val="24"/>
        </w:rPr>
        <w:t>post-truth</w:t>
      </w:r>
      <w:r w:rsidRPr="00E97E0B">
        <w:rPr>
          <w:rFonts w:ascii="Times" w:eastAsia="Calibri" w:hAnsi="Times" w:cs="Times New Roman"/>
          <w:sz w:val="24"/>
          <w:szCs w:val="24"/>
        </w:rPr>
        <w:t xml:space="preserve"> döneminde kimliğin ve kimlik çıkarlarının daha açık bir şekilde önem kazandığını savunabiliriz.</w:t>
      </w:r>
    </w:p>
    <w:p w14:paraId="0775F8D6" w14:textId="77777777" w:rsidR="00575F63" w:rsidRDefault="005534D6" w:rsidP="00575F63">
      <w:pPr>
        <w:spacing w:before="120" w:after="120" w:line="360" w:lineRule="auto"/>
        <w:ind w:firstLine="720"/>
        <w:jc w:val="both"/>
        <w:rPr>
          <w:rFonts w:ascii="Times" w:eastAsia="Calibri" w:hAnsi="Times" w:cs="Times New Roman"/>
          <w:sz w:val="24"/>
          <w:szCs w:val="24"/>
        </w:rPr>
        <w:sectPr w:rsidR="00575F63" w:rsidSect="0023531C">
          <w:type w:val="continuous"/>
          <w:pgSz w:w="11906" w:h="16838"/>
          <w:pgMar w:top="1418" w:right="1701" w:bottom="1418" w:left="2268" w:header="720" w:footer="720" w:gutter="0"/>
          <w:cols w:space="720"/>
          <w:docGrid w:linePitch="360"/>
        </w:sectPr>
      </w:pPr>
      <w:bookmarkStart w:id="96" w:name="_Hlk137473665"/>
      <w:r w:rsidRPr="00E97E0B">
        <w:rPr>
          <w:rFonts w:ascii="Times" w:eastAsia="Calibri" w:hAnsi="Times" w:cs="Times New Roman"/>
          <w:sz w:val="24"/>
          <w:szCs w:val="24"/>
        </w:rPr>
        <w:t>Bu çalışmada, sosyal kimliğin geç kapitalist dönemde ortaya çıkan anlam boşluğu sorununa cevap olduğu varsayımına dayanarak, iktidar olan aktörler tarafından ideoloji ve kimliğin inşacı bir perspektifle siyasi bir araç olarak değerlendirildiği anlayışı çerçevesinde, benzer siyasi çizgideki iki liderin söylemleri eleştirel analizle değerlendirilerek, ideolojinin ve sosyal kimliğin önkoşullarından biri olan öteki ile ilişkisini incelemek amaçlanmıştır. Bununla birlikte, burada postmodernizmin savunduğu gibi, ideolojilerin, kimliğin ve hakikat idealinin siyasette tamamen ortadan kalktığı fikri savunulmamaktadır. Aksine, hakikat düşüncesinin halen var olmakla birlikte, hakikatin, ideoloji ve kimlik merkeze alınarak araçsallaştırıldığı varsayılmaktadır. Bu doğrultuda, Eleştirel Söylem Analizi (ESA), kimlik siyasetinin yükselişini anlamak ve değerlendirmek için iç ve dış grupların söyleme yansımalarını göz önünde bulundurarak çalışmak için uygun bir metot olarak görülmüştür.</w:t>
      </w:r>
      <w:bookmarkEnd w:id="96"/>
    </w:p>
    <w:p w14:paraId="6959331E" w14:textId="0387AFF5" w:rsidR="002858AE" w:rsidRPr="00E97E0B" w:rsidRDefault="002858AE" w:rsidP="00575F63">
      <w:pPr>
        <w:pStyle w:val="Heading1"/>
        <w:spacing w:before="1440" w:after="360"/>
        <w:jc w:val="center"/>
      </w:pPr>
      <w:bookmarkStart w:id="97" w:name="_Toc141133078"/>
      <w:r w:rsidRPr="00E97E0B">
        <w:lastRenderedPageBreak/>
        <w:t>BÖLÜM 3</w:t>
      </w:r>
      <w:bookmarkEnd w:id="97"/>
    </w:p>
    <w:p w14:paraId="1E0AF59E" w14:textId="77777777" w:rsidR="002858AE" w:rsidRPr="00E97E0B" w:rsidRDefault="002858AE" w:rsidP="006A073C">
      <w:pPr>
        <w:keepNext/>
        <w:keepLines/>
        <w:spacing w:before="240" w:after="360" w:line="360" w:lineRule="auto"/>
        <w:jc w:val="center"/>
        <w:outlineLvl w:val="0"/>
        <w:rPr>
          <w:rFonts w:ascii="Times New Roman" w:eastAsia="Times New Roman" w:hAnsi="Times New Roman" w:cs="Times New Roman"/>
          <w:b/>
          <w:color w:val="000000"/>
          <w:sz w:val="28"/>
          <w:szCs w:val="32"/>
        </w:rPr>
      </w:pPr>
      <w:bookmarkStart w:id="98" w:name="_Toc141133079"/>
      <w:bookmarkStart w:id="99" w:name="_Toc89696041"/>
      <w:r w:rsidRPr="00E97E0B">
        <w:rPr>
          <w:rFonts w:ascii="Times New Roman" w:eastAsia="Times New Roman" w:hAnsi="Times New Roman" w:cs="Times New Roman"/>
          <w:b/>
          <w:color w:val="000000"/>
          <w:sz w:val="28"/>
          <w:szCs w:val="32"/>
        </w:rPr>
        <w:t>TÜRKİYE’DE VE FRANSA’DA SİYASAL SÖYLEMDEKİ ÖTEKİ</w:t>
      </w:r>
      <w:bookmarkEnd w:id="98"/>
    </w:p>
    <w:p w14:paraId="257D8192" w14:textId="6AAE4FD8" w:rsidR="002858AE" w:rsidRPr="00E97E0B" w:rsidRDefault="002858AE" w:rsidP="00E93FD2">
      <w:pPr>
        <w:pStyle w:val="Heading2"/>
      </w:pPr>
      <w:bookmarkStart w:id="100" w:name="_Toc141133080"/>
      <w:r w:rsidRPr="00E97E0B">
        <w:t>3.</w:t>
      </w:r>
      <w:r w:rsidR="002B7FA9" w:rsidRPr="00E97E0B">
        <w:t>1</w:t>
      </w:r>
      <w:r w:rsidRPr="00E97E0B">
        <w:t>. Türkiye ve Fransa’daki Yaygın İdeolojik Yönelimler ve Kimlikler</w:t>
      </w:r>
      <w:bookmarkEnd w:id="100"/>
    </w:p>
    <w:p w14:paraId="6ADDBAD6" w14:textId="2FE826AF" w:rsidR="00CA1814" w:rsidRPr="00E97E0B" w:rsidRDefault="002858AE" w:rsidP="00CA1814">
      <w:pPr>
        <w:spacing w:before="120" w:after="120" w:line="360" w:lineRule="auto"/>
        <w:ind w:firstLine="720"/>
        <w:jc w:val="both"/>
        <w:rPr>
          <w:rFonts w:ascii="Times" w:eastAsia="Calibri" w:hAnsi="Times" w:cs="Times New Roman"/>
        </w:rPr>
      </w:pPr>
      <w:r w:rsidRPr="00E97E0B">
        <w:rPr>
          <w:rFonts w:ascii="Times" w:eastAsia="Calibri" w:hAnsi="Times" w:cs="Times New Roman"/>
          <w:sz w:val="24"/>
          <w:szCs w:val="24"/>
        </w:rPr>
        <w:t>İdeolojik yönelimleri her iki ülke için de kavramlarla belirlemeye çalışırken, bu eğilimlerin birbiriyle sıklıkla kesiştiği çatıştığı ve çeliştiği durumların olduğu savunulmaktadır; ancak iki ülkenin de bazı temel yaklaşımlarından kısaca bahsetmek faydalı olacaktır.</w:t>
      </w:r>
      <w:r w:rsidR="00FB699C" w:rsidRPr="00E97E0B">
        <w:rPr>
          <w:rFonts w:ascii="Times" w:eastAsia="Calibri" w:hAnsi="Times" w:cs="Times New Roman"/>
          <w:sz w:val="24"/>
          <w:szCs w:val="24"/>
        </w:rPr>
        <w:t xml:space="preserve"> </w:t>
      </w:r>
      <w:r w:rsidR="00CA1814" w:rsidRPr="00E97E0B">
        <w:rPr>
          <w:rFonts w:ascii="Times" w:eastAsia="Calibri" w:hAnsi="Times" w:cs="Times New Roman"/>
        </w:rPr>
        <w:t xml:space="preserve">Erdoğan ve Sarkozy’nin söylemlerindeki öteki unsurlarını incelemeden önce liderlerin iktidar oldukları siyasi koşulların ve kurumların tarihselliği üzerinde durmanın iki ülkenin daha iyi anlaşılması bakımından faydalı olacağı düşünülmüştür. Bu nedenle, liderlerin hem dönemlerinin tarihi bağlamı hem de söylemlerindeki ana konuların anlaşılması için öncelikle her iki ülkenin siyasi, sosyal ve toplumsal tarihlerinden bahsetmek gerekmektedir. Böylelikle toplumsal olan ötekilerle kendi temsil ettikleri toplumsal ve siyasi grubun etkileşiminin bağlamı ve konuları daha iyi kavranabilecek; iç grup ve dış grup tanımlamaları daha sağlıklı bir zeminde değerlendirilebilecektir. Bu doğrultuda, siyasal söylem analizinin tarihsel bağlamı verilerek yapılması analizi güçlendirecek bir unsur olarak görülmektedir. </w:t>
      </w:r>
    </w:p>
    <w:p w14:paraId="5755885F" w14:textId="2F27CC2D" w:rsidR="00CA1814" w:rsidRPr="00E97E0B" w:rsidRDefault="00CA1814" w:rsidP="00CA1814">
      <w:pPr>
        <w:spacing w:before="120" w:after="120" w:line="360" w:lineRule="auto"/>
        <w:ind w:firstLine="720"/>
        <w:jc w:val="both"/>
        <w:rPr>
          <w:rFonts w:ascii="Times" w:eastAsia="Calibri" w:hAnsi="Times" w:cs="Times New Roman"/>
        </w:rPr>
      </w:pPr>
      <w:r w:rsidRPr="00E97E0B">
        <w:rPr>
          <w:rFonts w:ascii="Times" w:eastAsia="Calibri" w:hAnsi="Times" w:cs="Times New Roman"/>
        </w:rPr>
        <w:t xml:space="preserve">Genel çerçevenin sunulması amacıyla, her iki ülkenin siyasi ve toplumsal tarihlerinin ele alındığı bu bölümde, ülke içindeki toplumsal ve siyasi grupların birbiriyle karşılaştırılmasının pek de mümkün olmayacağını hatırlamak yerinde olacaktır. Zira inançsal faktörlerin kimlikte ön plana çıktığı durumlar olarak, Fransa’da Müslüman kimliğinin diğer unsurlardan farklılaşması ve Türkiye’de Alevi kimliğinin ülkesindeki diğer unsurlardan farklılaşması, tarihsel bağlamları oldukça farklıdır. </w:t>
      </w:r>
      <w:bookmarkStart w:id="101" w:name="_Hlk140252258"/>
      <w:r w:rsidRPr="00E97E0B">
        <w:rPr>
          <w:rFonts w:ascii="Times" w:eastAsia="Calibri" w:hAnsi="Times" w:cs="Times New Roman"/>
        </w:rPr>
        <w:t>Bu gruplardan Aleviler otokton unsur iken, Fransa Müslümanları allokton unsur olarak tanımlanabilir.</w:t>
      </w:r>
      <w:bookmarkEnd w:id="101"/>
      <w:r w:rsidRPr="00E97E0B">
        <w:rPr>
          <w:rFonts w:ascii="Times" w:eastAsia="Calibri" w:hAnsi="Times" w:cs="Times New Roman"/>
        </w:rPr>
        <w:t xml:space="preserve"> Bununla birlikte, her iki grup da ülkelerinde toplumun genelinden farklılaşan birer toplumsal kimlik veya toplumsal grup olarak kabul edilebilir ki araştırmanın odağı incelenen liderlerin farklı toplumsal grupları söylemlerinde nasıl konumlandırdığıdır.</w:t>
      </w:r>
    </w:p>
    <w:p w14:paraId="380E6F8C" w14:textId="075D7C42" w:rsidR="00F57A04" w:rsidRPr="00E97E0B" w:rsidRDefault="00F57A04" w:rsidP="00CA1814">
      <w:pPr>
        <w:spacing w:before="120" w:after="120" w:line="360" w:lineRule="auto"/>
        <w:ind w:firstLine="720"/>
        <w:jc w:val="both"/>
        <w:rPr>
          <w:rFonts w:ascii="Times" w:eastAsia="Calibri" w:hAnsi="Times" w:cs="Times New Roman"/>
          <w:sz w:val="24"/>
          <w:szCs w:val="24"/>
        </w:rPr>
      </w:pPr>
    </w:p>
    <w:p w14:paraId="7301BD7F" w14:textId="1A93E75B" w:rsidR="002858AE" w:rsidRPr="00E97E0B" w:rsidRDefault="002858AE" w:rsidP="00E93FD2">
      <w:pPr>
        <w:pStyle w:val="Heading3"/>
      </w:pPr>
      <w:bookmarkStart w:id="102" w:name="_Toc141133081"/>
      <w:r w:rsidRPr="00E97E0B">
        <w:lastRenderedPageBreak/>
        <w:t>3.</w:t>
      </w:r>
      <w:r w:rsidR="002B7FA9" w:rsidRPr="00E97E0B">
        <w:t>1</w:t>
      </w:r>
      <w:r w:rsidRPr="00E97E0B">
        <w:t>.1. Siyasal Bir Kimlik Olarak Siyasal Partiler</w:t>
      </w:r>
      <w:bookmarkEnd w:id="102"/>
    </w:p>
    <w:p w14:paraId="24CFAABF" w14:textId="1BEA7B1A"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Siyasi partiler, belli başlı kimlikleri ve çıkar gruplarını bir araya getirip siyaset yapmalarını sağlayan tüzel kişiliklerdir. Siyasi partiler, bünyelerinde hem belli başlı kimliklerin ve grupların önde gelenlerinin bir araya geldiği, hem de yer yer kendilerini topluma ait hissetmeyen grupların çıkarlarının tevhit edilebildiği, görece geçici olan grupların eklemlendiği birimlerdir. Siyasi kimlik ise bir kişi veya grupların ve bir siyasi değerler ve eylemler kümesi ile açıklanabilen bir kavramdır. Söz konusu değerler ve eylemler, bu kişi veya gruplar tarafından özümsenmekte ve onlarla bütünleşmekte ve bu sebeple onların benzer birimler karşısındaki siyasi hareket alanını sınırlandırmaktadır.</w:t>
      </w:r>
      <w:r w:rsidRPr="00E97E0B">
        <w:rPr>
          <w:rFonts w:ascii="Times" w:eastAsia="Calibri" w:hAnsi="Times" w:cs="Times New Roman"/>
          <w:sz w:val="24"/>
          <w:szCs w:val="24"/>
          <w:vertAlign w:val="superscript"/>
        </w:rPr>
        <w:footnoteReference w:id="175"/>
      </w:r>
      <w:r w:rsidRPr="00E97E0B">
        <w:rPr>
          <w:rFonts w:ascii="Times" w:eastAsia="Calibri" w:hAnsi="Times" w:cs="Times New Roman"/>
          <w:sz w:val="24"/>
          <w:szCs w:val="24"/>
        </w:rPr>
        <w:t xml:space="preserve"> Siyasi kimlikleri insanın belirsiz, öznel, farklı yorumlanmaya müsait ve dinamik doğasına ra</w:t>
      </w:r>
      <w:r w:rsidR="00E544FA" w:rsidRPr="00E97E0B">
        <w:rPr>
          <w:rFonts w:ascii="Times" w:eastAsia="Calibri" w:hAnsi="Times" w:cs="Times New Roman"/>
          <w:sz w:val="24"/>
          <w:szCs w:val="24"/>
        </w:rPr>
        <w:t>ğ</w:t>
      </w:r>
      <w:r w:rsidRPr="00E97E0B">
        <w:rPr>
          <w:rFonts w:ascii="Times" w:eastAsia="Calibri" w:hAnsi="Times" w:cs="Times New Roman"/>
          <w:sz w:val="24"/>
          <w:szCs w:val="24"/>
        </w:rPr>
        <w:t xml:space="preserve">men, belirli bir dönem ve yerle sınırlandırarak kategorize etmek bir hata payı içerse de, çeşitli isimlendirmeler yapmak mümkündür. Durum böyle olsa da yapılabilecek muhtemel kategorilendirmeler, kavramı basitleştirmeye yararlar. Öte yandan, kavramak ve değerlendirmek için doğal olarak ihtiyaç duyacağımız bu tür bir sınıflandırma basit olmanın ötesinde bir noksanlığı barındırmaktadır. Bu, basitleştirme ve sınıflandırma aynı zamanda başka türlü bir olumsallığın, kabul etmemiz gereken bir zayıflığa ve öznelliğe de sahip olması ile ilgilidir. Bu nedenle, siyasal kimlik ve ideolojiler konusunda yapılan tüm sınıflandırmalar hangi kaynaktan yararlanılarak yapılırsa yapılsın, bu noksanlıkla ilgili problemle karşılaşmak kaçınılmazdır. Bu </w:t>
      </w:r>
      <w:r w:rsidRPr="00E97E0B">
        <w:rPr>
          <w:rFonts w:ascii="Times" w:eastAsia="Calibri" w:hAnsi="Times" w:cs="Times New Roman"/>
          <w:i/>
          <w:iCs/>
          <w:sz w:val="24"/>
          <w:szCs w:val="24"/>
        </w:rPr>
        <w:t>Occam’ın usturasının</w:t>
      </w:r>
      <w:r w:rsidRPr="00E97E0B">
        <w:rPr>
          <w:rFonts w:ascii="Times" w:eastAsia="Calibri" w:hAnsi="Times" w:cs="Times New Roman"/>
          <w:sz w:val="24"/>
          <w:szCs w:val="24"/>
        </w:rPr>
        <w:t xml:space="preserve"> kör kalan kısmının farkında olmayı sağlamaktadır. Bu doğrultuda, çalışmada devletlerin sözcülerine yer verileceğinden, onların mensup oldukları partilerin ideolojik yaklaşımlarına ve genel eğilimlerine analizler sırasında yer verilmiştir. </w:t>
      </w:r>
    </w:p>
    <w:p w14:paraId="4DD633BB" w14:textId="49D0A083" w:rsidR="002858AE" w:rsidRPr="00E97E0B" w:rsidRDefault="002858AE" w:rsidP="00E93FD2">
      <w:pPr>
        <w:pStyle w:val="Heading3"/>
      </w:pPr>
      <w:bookmarkStart w:id="104" w:name="_Toc141133082"/>
      <w:r w:rsidRPr="00E97E0B">
        <w:t>3.</w:t>
      </w:r>
      <w:r w:rsidR="002B7FA9" w:rsidRPr="00E97E0B">
        <w:t>1</w:t>
      </w:r>
      <w:r w:rsidRPr="00E97E0B">
        <w:t>.2. Siyasal Partilerin Siyasal Söylem Üretiminde ve Toplumsal</w:t>
      </w:r>
      <w:r w:rsidR="00E93FD2" w:rsidRPr="00E97E0B">
        <w:t xml:space="preserve"> </w:t>
      </w:r>
      <w:r w:rsidRPr="00E97E0B">
        <w:t>Bütünleşme/Ayrışmadaki Rolleri</w:t>
      </w:r>
      <w:bookmarkEnd w:id="104"/>
    </w:p>
    <w:p w14:paraId="2D8B7EA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Liderlerin söylemlerinin, bireylerin ve tüm toplumsal grupların davranış ve konum alışında önemli etkilerinin olduğu sabittir. Benzer bir şekilde, siyasi partilerin diğer temsilcilerinin söylemleri için de bunu dile getirmek mümkün </w:t>
      </w:r>
      <w:r w:rsidRPr="00E97E0B">
        <w:rPr>
          <w:rFonts w:ascii="Times" w:eastAsia="Calibri" w:hAnsi="Times" w:cs="Times New Roman"/>
          <w:sz w:val="24"/>
          <w:szCs w:val="24"/>
        </w:rPr>
        <w:lastRenderedPageBreak/>
        <w:t>görünmektedir, zira bu unsurlar bir yere kadar bütünlük içindedir. Günlük siyasal söylemlerin üretim şekli aslında tıpkı bir mamül gibi düşünülebilir. Ortaya çıkan politika ve politik söylem, temelde iktidar olan grup ya da gruplar tarafından icraatların övgüsü ve icraat proje önerilerinin yanında gelen eleştirilere yanıtlar ile muhalefet adına da genel olarak iktidarın eleştirisi, yergisi ve alternatif öneriler sunumu olarak cereyan eden diyalektik bir çerçevede düşünülebilir. Diğer yandan, çoğu kez bu ürünün niteliğini savunan veya kendi cenahının verili konuya yaklaşımını kolaylıkla benimseyen bir tüketici kimliği söylemle ortaya çıkmaktadır.</w:t>
      </w:r>
      <w:r w:rsidRPr="00E97E0B">
        <w:rPr>
          <w:rFonts w:ascii="Times" w:eastAsia="Calibri" w:hAnsi="Times" w:cs="Times New Roman"/>
          <w:sz w:val="24"/>
          <w:szCs w:val="24"/>
          <w:vertAlign w:val="superscript"/>
        </w:rPr>
        <w:footnoteReference w:id="176"/>
      </w:r>
      <w:r w:rsidRPr="00E97E0B">
        <w:rPr>
          <w:rFonts w:ascii="Times" w:eastAsia="Calibri" w:hAnsi="Times" w:cs="Times New Roman"/>
          <w:sz w:val="24"/>
          <w:szCs w:val="24"/>
        </w:rPr>
        <w:t xml:space="preserve"> Tüketici kimliğine sahip olan toplumsal gruplar, kendi çıkarlarına hitap ettiğini düşündükleri ve diğer gruplarla çıkarlarının çatıştığı konularda rakiplerinin nasıl tanımlanacağına ilişkin siyasi elitlerin tavırlarını siyasi elitlerine duydukları güven ölçüsünde dikkate almaktadırlar. Bu, aynı zamanda ortak çıkarlarının olduğunu düşündükleri veya düşünecekleri noktada da diğer grup ve elitlere nasıl bakacaklarını anlamaları hususunda da geçerlidir. </w:t>
      </w:r>
    </w:p>
    <w:p w14:paraId="5B878258" w14:textId="24362FD5" w:rsidR="002858AE" w:rsidRPr="00E97E0B" w:rsidRDefault="002858AE" w:rsidP="00E93FD2">
      <w:pPr>
        <w:pStyle w:val="Heading2"/>
      </w:pPr>
      <w:bookmarkStart w:id="106" w:name="_Toc141133083"/>
      <w:bookmarkEnd w:id="99"/>
      <w:r w:rsidRPr="00E97E0B">
        <w:t>3.</w:t>
      </w:r>
      <w:r w:rsidR="002B7FA9" w:rsidRPr="00E97E0B">
        <w:t>2</w:t>
      </w:r>
      <w:r w:rsidRPr="00E97E0B">
        <w:t>. Türkiye ve Fransa: İktidar Söylemlerinin Ana Konuları</w:t>
      </w:r>
      <w:bookmarkEnd w:id="106"/>
    </w:p>
    <w:p w14:paraId="78A05F74" w14:textId="7C89E67E"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İnceleme nesnelerine genel bir başlık olarak verilmek üzere toplumsal kimlikler kavramının seçilme nedeni, genel bir kategorizasyon yapılmasının güçlüğünden kaynaklanmaktadır. Bu başlık etnik</w:t>
      </w:r>
      <w:r w:rsidR="0066745E" w:rsidRPr="00E97E0B">
        <w:rPr>
          <w:rFonts w:ascii="Times" w:eastAsia="Calibri" w:hAnsi="Times" w:cs="Times New Roman"/>
          <w:sz w:val="24"/>
          <w:szCs w:val="24"/>
        </w:rPr>
        <w:t>,</w:t>
      </w:r>
      <w:r w:rsidRPr="00E97E0B">
        <w:rPr>
          <w:rFonts w:ascii="Times" w:eastAsia="Calibri" w:hAnsi="Times" w:cs="Times New Roman"/>
          <w:sz w:val="24"/>
          <w:szCs w:val="24"/>
        </w:rPr>
        <w:t xml:space="preserve"> dinsel</w:t>
      </w:r>
      <w:r w:rsidR="0066745E" w:rsidRPr="00E97E0B">
        <w:rPr>
          <w:rFonts w:ascii="Times" w:eastAsia="Calibri" w:hAnsi="Times" w:cs="Times New Roman"/>
          <w:sz w:val="24"/>
          <w:szCs w:val="24"/>
        </w:rPr>
        <w:t>,</w:t>
      </w:r>
      <w:r w:rsidRPr="00E97E0B">
        <w:rPr>
          <w:rFonts w:ascii="Times" w:eastAsia="Calibri" w:hAnsi="Times" w:cs="Times New Roman"/>
          <w:sz w:val="24"/>
          <w:szCs w:val="24"/>
        </w:rPr>
        <w:t xml:space="preserve"> kültürel kimlikleri içerebileceği gibi demografik başka özelliklere ve siyasal yönelimlerin demografisine de yeri geldiğinde odaklanabilmeyi sağlamak içindir. Hem Türkiye’de hem de Fransa’da etnik çeşitlilik, kültürel dini ve cinsiyet kimlikleri olsun her tür kimliğin son derece çeşitli olduğunu söylemek mümkündür. Bununla birlikte, en fazla öne çıkan söylemlere ve en fazla değinildiği gözlemlenen konulara odaklanmanın bu çalışma için öncelikli olduğu düşünülmüştür. </w:t>
      </w:r>
    </w:p>
    <w:p w14:paraId="3B7ADE27" w14:textId="2B26637F"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Ekonomik sorunlar, toplumsal huzursuzlukların ve dolayısıyla ayrışmanın tetiklenmesini kolaylaştıran bir katalizör olarak görülebilmektedir. Bu nedenle, siyasette öteki kavramının gözlendiği en müsait alanlardan biri olarak ekonomik sorunlar gösterilebilir. Buna ek olarak hem ekonomik hem de sosyal politikaların yönünü gösteren sosyal güvenlik ve kemer sıkma politikalarına dair söylemler, </w:t>
      </w:r>
      <w:r w:rsidRPr="00E97E0B">
        <w:rPr>
          <w:rFonts w:ascii="Times" w:eastAsia="Calibri" w:hAnsi="Times" w:cs="Times New Roman"/>
          <w:sz w:val="24"/>
          <w:szCs w:val="24"/>
        </w:rPr>
        <w:lastRenderedPageBreak/>
        <w:t xml:space="preserve">toplumsal meseleler açısından birincil öneme sahip bir konu olduğundan aynı zamanda da bir çatışma alanı olarak karşımıza çıkmaktadır. Çatışma alanları ayrışmaları ve sosyal anlamda ötekileri belirginleştirdiğinden ekonomik sorunlar başlığının ele alınmasının uygun olduğu düşünülmüştür. </w:t>
      </w:r>
    </w:p>
    <w:p w14:paraId="73A93F2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Oranları ve dinamikleri ülkeden ülkeye sıklıkla değişen bir problem olan işsizlik, serbest piyasa ekonomisinin uygulandığı her rejimde kaçınılmaz olarak karşımıza çıkan ve etkilerini asgari düzeye getirmek amacıyla mücadele edilmesi gereken bir konudur. Ancak, her ülkede işsizliğin deneyimlenmesi ve algılanması farklılık göstermektedir. Bu farklılıkların, iktidarın diline yansıması her halde bekleneceğinden söylem incelemesi için önemli bir konudur. Diğer ekonomik meselelerden farklı olarak işsizlik yalnızca sermaye veya üretim çıktılarıyla sınırlı ve dolayısıyla seçmenin ve toplumun doğrudan temas etmediği bir sürecin sonucu değil; hane gelirini somut bir şekilde etkileyen ve kişileri de sosyal olarak belli bir statüde konumlayan bir mesele olduğundan söylemdeki yerinin ele alınmasının yerinde olacağı düşünülmektedir.</w:t>
      </w:r>
    </w:p>
    <w:p w14:paraId="3EE7C156" w14:textId="50E3E52B"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Diğer bir husus olarak, ticari niteliği olabilecek kuruluşların millileştirilmesi veya özelleştirilmesi meselesi başlangıçtan beri siyasi tartışmaların önemli bir odak noktası olmuştur. Bu eksende ortaya koyulan devletçi veya piyasacı söylemler hem zamanın siyasi atmosferini yansıtmak hem de konuşanların siyasi eğilimlerini incelemek bakımından faydalıdır. Konuşmaları incelenen liderlerin, sağ ve sol eksenlerdeki konum alışları bu söylemlerin yeterince yansıtabileceği öngörülmektedir. </w:t>
      </w:r>
    </w:p>
    <w:p w14:paraId="5BF0CCE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Terör, devletlerin en ciddi güvenlik sorunlarından biridir Özellikle de yakın zamana kadar büyük çaplı devletlerarası savaşın resmen tecrübe edilmediği İkinci Dünya Savaşı sonrası dönem düşünüldüğünde, devletlerin en açık bir tehditle karşılaştığı nadir meselelerden birisi terör olduğundan söylemde terör kavramının ele alınması, kimlerin öteki konumunda algılandığını görmek bakımından önemlidir.</w:t>
      </w:r>
    </w:p>
    <w:p w14:paraId="3FF14010"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Diğer bir konu ise dinler olarak belirlenmiş olup hem Türkiye’de hem Fransa’da devletin dinlerle veya dini anlayışlarla tikel ilişkisinin iktidar söylemleri kapsamında ele alınabileceği düşünülmektedir. Her iki ülkenin de özellikle laiklik </w:t>
      </w:r>
      <w:r w:rsidRPr="00E97E0B">
        <w:rPr>
          <w:rFonts w:ascii="Times" w:eastAsia="Calibri" w:hAnsi="Times" w:cs="Times New Roman"/>
          <w:sz w:val="24"/>
          <w:szCs w:val="24"/>
        </w:rPr>
        <w:lastRenderedPageBreak/>
        <w:t>kavram ve modelini her ne kadar farklı biçimlerde de olsa bir şekilde kabul ettiğini ve uyguluyor olduğu düşünüldüğünde, bu başlık her iki ülkede de yıllardır gündemde kalan konuları ele almak açısından önem arz etmektedir. Din konusunun ele alınmasıyla, muhafazakârlığın farklı ton ve anlayışlarının hâkim olduğu bu iki ülkenin devralınan ve üretilen miraslar olarak modernizm ve gelenekselliği ne şekilde anladıklarına dair bir çerçeve sunmak amaçlanmaktadır.</w:t>
      </w:r>
    </w:p>
    <w:p w14:paraId="25337B9B" w14:textId="727D3A5C"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Her partinin ve hükümetin dünya görüşü ve siyasal eğilimleri seçmenin gözlediği ve dikkate aldığı önemli bir tercih faktörü olsa da, fark yaratma potansiyeli oldukça büyük olan bir faktör de vadedilen proje ve planlardır. Bunların bazıları sosyal açıdan sembolik öneme sahip olmakla birlikte, bazıları ekonomik ve siyasal olarak ülkenin gidişatını önemli ölçüde etkileme ihtimalini barındırmaktadır. Yapılmış olan, yapılmakta veya yapılacak olan tüm projeler, özellikle iktidar olan veya olma hedefi taşıyan partiler için, seçmenin gözünde sivrilme ve yeniden konumlanma aracıdır. Bu doğrultuda, seçilen bu başlık kapsamında ele alınan söylemler, aynı zamanda projeler üzerinden ötekilerin kimler olduğunu hatırlatmak için de makul bir fırsat olarak görülmektedir.</w:t>
      </w:r>
    </w:p>
    <w:p w14:paraId="4319C25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Batı’daki gelişmiş ülkelerin aksine, Türkiye gibi hem jeopolitik ve jeostratejik açıdan daha fazla değişime ayak uydurmak zorunda olan bir gelişmekte olan ülkenin sosyal, ekonomik ve siyasi ihtiyaçları nedeniyle belirsizlik içerisinde olması ve beklenmeyen gelişmeler karşısındaki reflekslerinin ön plana çıkması olağan bir durum olarak değerlendirilmelidir. Zira Batılı devlet sistemlerinin de jeopolitik faktörlerin de katkısıyla büyük krizler geçirdiklerinde bile görece daha stabil olduklarını söylemek mümkündür. Fransa gibi modern devlet sistemleri içinde cumhuriyet rejimi uygulamaları en eskiye dayanan bir ülkenin bile kalıcı olarak bu rejimi gerçekten uygulayabilmesinin esasen 1870’li yıllara gittiğini belirtmek bu iki ülkeyi karşılaştırarak anlama çabasının faydasını daha da görünür kılmaktadır. Türkiye’de ise Osmanlı İmparatorluğu döneminde Fransız Devrimi’nin de sonrasına tekabül eden II. Mahmud’un tahta geçmesi ile modernleşme ve Batılılaşma yönündeki gelişmeler hem idari hem de siyasi anlamda </w:t>
      </w:r>
      <w:r w:rsidRPr="00E97E0B">
        <w:rPr>
          <w:rFonts w:ascii="Times" w:eastAsia="Calibri" w:hAnsi="Times" w:cs="Times New Roman"/>
          <w:sz w:val="24"/>
          <w:szCs w:val="24"/>
        </w:rPr>
        <w:lastRenderedPageBreak/>
        <w:t>hız kazanmıştır.</w:t>
      </w:r>
      <w:r w:rsidRPr="00E97E0B">
        <w:rPr>
          <w:rFonts w:ascii="Times" w:eastAsia="Calibri" w:hAnsi="Times" w:cs="Times New Roman"/>
          <w:sz w:val="24"/>
          <w:szCs w:val="24"/>
          <w:vertAlign w:val="superscript"/>
        </w:rPr>
        <w:footnoteReference w:id="177"/>
      </w:r>
      <w:r w:rsidRPr="00E97E0B">
        <w:rPr>
          <w:rFonts w:ascii="Times" w:eastAsia="Calibri" w:hAnsi="Times" w:cs="Times New Roman"/>
          <w:sz w:val="24"/>
          <w:szCs w:val="24"/>
        </w:rPr>
        <w:t xml:space="preserve"> Bu süreç Tanzimat Fermanı, Meşrutiyet’in ilanı ve II. Meşrutiyet dönemlerinde de devam etmiştir. Her ne kadar süreçte, Batı etkisi olmasına karşın Batıya nazaran pek çok eksiklik söz konusu olsa da, Türkiye’nin modernleşme sürecinde gerek idari gerek siyasi anlamda Fransa’daki idari örgütlenmeyi yakından takip ettiğini söylemek mümkündür. Öte yandan, Türkiye ve Fransa, nüfus ve toprak büyüklükleri, idari ve siyasi yapıları, toplumlarının kültürel etkileşimi, coğrafi yakınlıkları ve Fransa’nın AB üyeliği ve Türkiye’nin AB adaylığı süreci nedeniyle pek çok açıdan karşılaştırılmaları faydalı olabilecek iki ülkedir. Fransa ile Osmanlı Devleti’nden Türkiye Cumhuriyeti’nin kuruluşuna kadar Türkiye ile yakın ilişkilerinin olması karşılaştırma yapmak üzere yapılan bu tercihi daha anlamlı kılmaktadır. Tarihlerinde pek çok paralelliği olan bu iki ülkenin benzerliklerinin çalışmada ele alınan karşılaştırmaların daha belirgin ve anlamlı kılabileceğinden bu iki ülke özellikle tercih edilmiştir.</w:t>
      </w:r>
    </w:p>
    <w:p w14:paraId="4E40BBE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İhtiyaçları dinamik bir bölgesel ve küresel etkilenmeler zincirine oldukça bağlı olan Türkiye’nin siyasi atmosferine hâkim olmanın yolu sayısal üstünlüğü elde etmesidir. Bu nedenle konsolide olması durumunda kazandıracak olan seçmen talep ve beklentilerini yansıtan politikalar ve söylemler benimseyen Recep Tayyip Erdoğan’ın liderliğindeki Ak Parti’nin seçim başarısının da siyasi hayata başladığı günden beri bu hesaba uygun hareket etmekte yattığı kabul edilebilir. Politika ve söylemlere ek olarak, seçmenin tercih edeceği profilde bir lider olmanın yani lider imajının da tamamlayıcı bir unsur olduğunu hatırlamak uygun olacaktır. </w:t>
      </w:r>
    </w:p>
    <w:p w14:paraId="247546EA" w14:textId="3B8DD82D"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Aynı şekilde, Fransa’da yeterince konsolide edildiğinde kazandıracak olan seçmen kesiminin beklentisine hitap edebilmek belirleyici bir stratejik fak</w:t>
      </w:r>
      <w:r w:rsidR="00E544FA" w:rsidRPr="00E97E0B">
        <w:rPr>
          <w:rFonts w:ascii="Times" w:eastAsia="Calibri" w:hAnsi="Times" w:cs="Times New Roman"/>
          <w:sz w:val="24"/>
          <w:szCs w:val="24"/>
        </w:rPr>
        <w:t>t</w:t>
      </w:r>
      <w:r w:rsidRPr="00E97E0B">
        <w:rPr>
          <w:rFonts w:ascii="Times" w:eastAsia="Calibri" w:hAnsi="Times" w:cs="Times New Roman"/>
          <w:sz w:val="24"/>
          <w:szCs w:val="24"/>
        </w:rPr>
        <w:t xml:space="preserve">ördür ve yine çoğunluğu kazanabilecek profilde bir lider olmak da tamamlayıcı unsurdur. Bununla birlikte, Fransa’da Şerif Mardin’in merkez-çevre karşılaştırması bağlamında son üç cumhurbaşkanının seçkinci bir merkezden geldiklerini, ancak Türkiye’de ise başkanlık sistemi cumhurbaşkanı ve öncesindeki başbakanı Recep Tayyip Erdoğan’ın siyasal sistemde çevre olarak nitelendirilebilecek bir noktadan göreve geldiği söylenebilir. </w:t>
      </w:r>
    </w:p>
    <w:p w14:paraId="422E491D" w14:textId="349681A0"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Çalışmada karşılaştırma nesnesi olacak dönemin 2007-2012 yılları olmasının nedeni ise, bu yılların her iki ülke için de ortak değişimlerin başladığı dönemleri ifade etmesi ve güncelliğini sürdürmesidir. Türkiye açısından iktidar partisi Ak Parti’nin iktidarının gerçek anlamda oturmaya başladığının kabul edildiği bir dönemdir. Ayrıca, parlamenter sisteminin diğer önemli unsuru olan cumhurbaşkanlığı görevine Ak Parti kurucularından Abdullah Gül’ün geçmesi ve partinin yalnızca hükümet değil aynı zamanda muktedir olmaya başladığı kabul edilen bir dönemdir.</w:t>
      </w:r>
      <w:r w:rsidRPr="00E97E0B">
        <w:rPr>
          <w:rFonts w:ascii="Times" w:eastAsia="Calibri" w:hAnsi="Times" w:cs="Times New Roman"/>
          <w:sz w:val="24"/>
          <w:szCs w:val="24"/>
          <w:vertAlign w:val="superscript"/>
        </w:rPr>
        <w:footnoteReference w:id="178"/>
      </w:r>
      <w:r w:rsidRPr="00E97E0B">
        <w:rPr>
          <w:rFonts w:ascii="Times" w:eastAsia="Calibri" w:hAnsi="Times" w:cs="Times New Roman"/>
          <w:sz w:val="24"/>
          <w:szCs w:val="24"/>
        </w:rPr>
        <w:t xml:space="preserve"> Öte yandan, bu dönemi önemli kılan diğer bir husus, 2014’e kadar başbakan olan Recep Tayyip Erdoğan’ın aslında siyasi ağırlığının cumhurbaşkanından bile fazla olmasıdır. Zira başbakan olduğu dönemin anayasasına göre seçmen iradesini doğrudan temsil etmiştir. Fransa için ise bu dönem, önemli bir seçim sathının son bulduğu ve Cumhurbaşkanı Nicolas Sarkozy döneminin başladığı, önceki Cumhurbaşkanı Jacques Chirac’ın siyaseti bıraktığı bir dönemin başlangıcına denk gelmektedir. Fransa için bu dönem, iki seçimi üst üste kazanarak cumhurbaşkanlığını sürdürmüş olan Gaullist ve sağ eğilimli Chirac’tan doğan boşluğa ve Sosyalist Parti’yle (PS) seçimlerde başabaş bir rekabete rast gelmektedir. Dahası Nicolas Sarkozy pek çok açıdan öncekilerden farklı bir başkan profiline sahip biri olarak görülmekteydi. Sarkozy’nin Cumhurbaşkanlığı siyasi değişim talebinin belirginleştiği bir dönemde gerçekleşmiştir. “Değişim” vaadi de seçim kampanyasında ön planda olmuş ve kastedilen değişimin aynı zamanda bir “kopuş” olduğu da yer yer değerlendirilmiştir.</w:t>
      </w:r>
      <w:r w:rsidRPr="00E97E0B">
        <w:rPr>
          <w:rFonts w:ascii="Times" w:eastAsia="Calibri" w:hAnsi="Times" w:cs="Times New Roman"/>
          <w:sz w:val="24"/>
          <w:szCs w:val="24"/>
          <w:vertAlign w:val="superscript"/>
        </w:rPr>
        <w:footnoteReference w:id="179"/>
      </w:r>
      <w:r w:rsidRPr="00E97E0B">
        <w:rPr>
          <w:rFonts w:ascii="Times" w:eastAsia="Calibri" w:hAnsi="Times" w:cs="Times New Roman"/>
          <w:sz w:val="24"/>
          <w:szCs w:val="24"/>
        </w:rPr>
        <w:t xml:space="preserve"> Değişimin kapsamı yalnızca ekonomik sıkıntılar ve gelir dağılımından kaynaklı sosyal kırılmalar olmakla kalmayıp, başkanın kendisinden önceki iki dönem görev yapan Sosyalist ve </w:t>
      </w:r>
      <w:r w:rsidRPr="00E97E0B">
        <w:rPr>
          <w:rFonts w:ascii="Times" w:eastAsia="Calibri" w:hAnsi="Times" w:cs="Times New Roman"/>
          <w:i/>
          <w:iCs/>
          <w:sz w:val="24"/>
          <w:szCs w:val="24"/>
        </w:rPr>
        <w:t>De Gaule</w:t>
      </w:r>
      <w:r w:rsidRPr="00E97E0B">
        <w:rPr>
          <w:rFonts w:ascii="Times" w:eastAsia="Calibri" w:hAnsi="Times" w:cs="Times New Roman"/>
          <w:sz w:val="24"/>
          <w:szCs w:val="24"/>
        </w:rPr>
        <w:t>cü her bir başkanın aksine, genç ve dünya savaşı sonrası nesilden olması, doğrudan göçmen kökenli bir aileden gelmesi ve siyasal dili değiştirmesi öne çıkan özellikleriydi.</w:t>
      </w:r>
      <w:r w:rsidRPr="00E97E0B">
        <w:rPr>
          <w:rFonts w:ascii="Times" w:eastAsia="Calibri" w:hAnsi="Times" w:cs="Times New Roman"/>
          <w:sz w:val="24"/>
          <w:szCs w:val="24"/>
          <w:vertAlign w:val="superscript"/>
        </w:rPr>
        <w:footnoteReference w:id="180"/>
      </w:r>
      <w:r w:rsidRPr="00E97E0B">
        <w:rPr>
          <w:rFonts w:ascii="Times" w:eastAsia="Calibri" w:hAnsi="Times" w:cs="Times New Roman"/>
          <w:sz w:val="24"/>
          <w:szCs w:val="24"/>
        </w:rPr>
        <w:t xml:space="preserve"> Sarkozy’nin halefinin döneminin öne çıkan şartları ise siyasal sistemdeki çözümsüzlükler ve sosyo-ekonomik ayrışmalar nedeniyle sokaklarda yaşanan şiddet olayları, ekonomik liberalizmin kurumsallaşmasını pekiştirecek bir </w:t>
      </w:r>
      <w:r w:rsidRPr="00E97E0B">
        <w:rPr>
          <w:rFonts w:ascii="Times" w:eastAsia="Calibri" w:hAnsi="Times" w:cs="Times New Roman"/>
          <w:sz w:val="24"/>
          <w:szCs w:val="24"/>
        </w:rPr>
        <w:lastRenderedPageBreak/>
        <w:t>Avrupa Anayasası’nın referandumda kabul görmemesi ve göçmen karşıtlığının ayyuka çıkmasıyla yükselen Ulusal Cephe liderinin Chirac’la yarışmak üzere cumhurbaşkanlığı seçiminde ikinci tura kalabilmesi olarak özetlenebilir. Dönemin değişim talebi bakımından bir diğer dikkate değer özelliği, toplumun çoğunluğu banliyölerde kümelenmiş Müslüman Kuzey Afrika kökenlilerden oluşan (yaklaşık olarak %10 olduğu tahmin edilen) azınlık gruplarının laik devlet söylemi sebebiyle devlet tarafından tanınmaması olmuştur.</w:t>
      </w:r>
      <w:r w:rsidRPr="00E97E0B">
        <w:rPr>
          <w:rFonts w:ascii="Times" w:eastAsia="Calibri" w:hAnsi="Times" w:cs="Times New Roman"/>
          <w:sz w:val="24"/>
          <w:szCs w:val="24"/>
          <w:vertAlign w:val="superscript"/>
        </w:rPr>
        <w:footnoteReference w:id="181"/>
      </w:r>
      <w:r w:rsidR="00E544FA" w:rsidRPr="00E97E0B">
        <w:rPr>
          <w:rFonts w:ascii="Times" w:eastAsia="Calibri" w:hAnsi="Times" w:cs="Times New Roman"/>
          <w:sz w:val="24"/>
          <w:szCs w:val="24"/>
        </w:rPr>
        <w:t xml:space="preserve"> </w:t>
      </w:r>
      <w:r w:rsidRPr="00E97E0B">
        <w:rPr>
          <w:rFonts w:ascii="Times" w:eastAsia="Calibri" w:hAnsi="Times" w:cs="Times New Roman"/>
          <w:sz w:val="24"/>
          <w:szCs w:val="24"/>
        </w:rPr>
        <w:t>Fransa ve Türkiye için belirtilen koşullar çerçevesinde, 2007’den itibaren Fransa’daki cumhurbaşkanlarının konuşmalarından kesitler incelenirken Türkiye’deki iktidarın en önde gelen temsilcisi olarak yalnızca Recep Tayyip Erdoğan’ın konuşmaları ele alınmıştır ve söz konusu dönemde</w:t>
      </w:r>
      <w:r w:rsidR="00E544FA" w:rsidRPr="00E97E0B">
        <w:rPr>
          <w:rFonts w:ascii="Times" w:eastAsia="Calibri" w:hAnsi="Times" w:cs="Times New Roman"/>
          <w:sz w:val="24"/>
          <w:szCs w:val="24"/>
        </w:rPr>
        <w:t xml:space="preserve"> </w:t>
      </w:r>
      <w:r w:rsidRPr="00E97E0B">
        <w:rPr>
          <w:rFonts w:ascii="Times" w:eastAsia="Calibri" w:hAnsi="Times" w:cs="Times New Roman"/>
          <w:sz w:val="24"/>
          <w:szCs w:val="24"/>
        </w:rPr>
        <w:t xml:space="preserve">her iki ülkede de seçilmiş en yetkili liderin konuşmalarına yoğunlaşılmıştır. </w:t>
      </w:r>
    </w:p>
    <w:p w14:paraId="04B7A9AB" w14:textId="7C14990E"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2007’den itibaren Türkiye’de göreve gelen Cumhurbaşkanı Abdullah Gül’ün ardından, Cumhurbaşkanı ve Başbakan aynı siyasi çizgiden geldiğinden ele alınan dönemde siyasal sistem açısından bir iki başlılık durumu söz konusu değildi. Bununla birlikte Fransa’da da mevcut siyasal sistem yarıbaşkanlık sistemi olup ele alınan dönemde cumhurbaşkanı olan Sarkozy ve Başbakan François Fillon aynı siyasi partiden gelmekteydi. Bu nedenle, incelenen dönem, hükümetin her iki ülkede de tamamen aynı partiden olduğu bir döneme gelmesi nedeniyle de yönetme imkanlarının üst düzeyde olduğunu göstermektedir ve bu bakımdan benzerlik olması araştırılan dönemin koşullarını benzer hale getirmesi bakımından önem arz etmektedir. Bu durum, araştırma koşullarının siyasal istikrar bağlamında benzer ve mukayese edilebilir olduğu argümanını güçlendirmektedir. Bitiş dönemi olarak ise karşılaştırılan liderlerin ortak hükümet aralığı olan 2012 sonunun belirlenmiş olmasının gerekçesi</w:t>
      </w:r>
      <w:r w:rsidR="00E544FA" w:rsidRPr="00E97E0B">
        <w:rPr>
          <w:rFonts w:ascii="Times" w:eastAsia="Calibri" w:hAnsi="Times" w:cs="Times New Roman"/>
          <w:sz w:val="24"/>
          <w:szCs w:val="24"/>
        </w:rPr>
        <w:t xml:space="preserve"> </w:t>
      </w:r>
      <w:r w:rsidRPr="00E97E0B">
        <w:rPr>
          <w:rFonts w:ascii="Times" w:eastAsia="Calibri" w:hAnsi="Times" w:cs="Times New Roman"/>
          <w:sz w:val="24"/>
          <w:szCs w:val="24"/>
        </w:rPr>
        <w:t xml:space="preserve">ise hem Türkiye’deki anayasal değişiklikler sonucunda ortaya çıkan sistemsel değişimlerin başlaması hem de Erdoğan’ın cumhurbaşkanlığı görevine 2011’de gelmesiyle değişkenlerin artmasıdır. Türkiye’de 2007 sonrasında iktidarının zeminini iyice sağlamlaştıran Ak Parti’nin kendisinden evvelki koalisyon dönemlerinin tecrübesinin de etkisiyle Kongar’ın muhafazakâr-liberal şeklinde tanımladığı bir sağ yönetim anlayışını belirginleştirdiği söylenebilir. Buna paralel olarak, hali hazırda liberal sağ olarak nitelendirilebilecek Chirac Yönetimi </w:t>
      </w:r>
      <w:r w:rsidRPr="00E97E0B">
        <w:rPr>
          <w:rFonts w:ascii="Times" w:eastAsia="Calibri" w:hAnsi="Times" w:cs="Times New Roman"/>
          <w:sz w:val="24"/>
          <w:szCs w:val="24"/>
        </w:rPr>
        <w:lastRenderedPageBreak/>
        <w:t>sonrası kendisiyle benzer liberal sağ siyasi eğilimlere sahip Sarkozy yönetimi UMP partisi ile iktidara gelmişti. Bu noktadan bakıldığında, her iki ülkenin yöneticilerinin de kendi ülkelerinde devletçilik-liberalizm eksenindeki konumlarının benzer olmasının karşılaştırmayı daha anlamlı hale getirmektedir. Ayrıca, Ak Parti iktidarının sürmesine paralel olarak, 2012-2015 yılları arasındaki dönemde Sosyalist Partili Hollande iktidarına rağmen Fransa’da liberal politikaların ağırlığını sürdürdüğü kanısının yaygın olduğu gözlenmektedir. Bu nedenle Sarkozy’den sonraki Sosyalist Parti iktidarı döneminin söylem ve politikaları arasında uyumsuzluk nedeniyle çalışmayı Sarkozy dönemiyle sınırlamak daha yerinde olacaktır.</w:t>
      </w:r>
    </w:p>
    <w:p w14:paraId="14F4A737"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Siyasi partilerin yönelimlerindeki bazı benzerliklerin yanı sıra yönetim sistemini Osmanlı Devleti döneminden beri Batı modeli üzerinden şekillendirmiş olan Türkiye’nin örnek aldığı ve izlediği başlıca idari sistem Fransa’nın idari sistemidir. Türkiye’de Cumhuriyet rejiminin, sosyal devlet ilkesinin ve -her ne kadar uygulama biçiminde farklılıklar olsa- da laik devlet anlayışının esin kaynağının Fransız modeli olması nedeniyle iktidar partilerinin siyasi liderlerini karşılaştırma bakımından sahip oldukları benzerliklerin farkları daha belirgin bir şekilde ortaya koymaya yarayacağı düşünülmektedir. </w:t>
      </w:r>
    </w:p>
    <w:p w14:paraId="08BFB54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Türkiye’deki gibi veya Almanya’da Angela Merkel’le olduğu gibi (2005-2021) gibi, seçmen tercihi Fransa’da ifadesini tek lider üzerinden yansıtmamış olsa da lider bazında siyasi çizginin büyük oranda değişmeden devam ettiğini söylemek de mümkündür. Sağın desteklediği Cumhurbaşkanı Chaques Chirac’ın ardından bir dönem cumhurbaşkanlığı yapan Nicolas Sarkozy’den sonra bir dönem cumhurbaşkanlığı yapabilmiş François Hollande’ın sol adına etkisinin zayıf olduğu ve ardından gelen merkez sağdaki Emanuelle Macron’un cumhurbaşkanlığı seçimlerini iki dönem kazandığını düşünüldüğünde, Fransa’nın yirmi yıldan fazladır giderek daha fazla sağa meylettiğini gözlemlemek mümkündür. Ayrıca, siyasi ağırlık merkezinin sağa meyletmesiyle paralel olarak, merkez sol Sosyalist Parti (PS) lideri olarak seçime giren François Hollande’ın ise sağın lehine olacak şekilde, işsizlik, sosyal adalet ve güvenlik konularında solun taleplerini yanıtlamakta yetersiz kaldığı ve popülaritesi en düşük başkan olduğu genel bir </w:t>
      </w:r>
      <w:r w:rsidRPr="00E97E0B">
        <w:rPr>
          <w:rFonts w:ascii="Times" w:eastAsia="Calibri" w:hAnsi="Times" w:cs="Times New Roman"/>
          <w:sz w:val="24"/>
          <w:szCs w:val="24"/>
        </w:rPr>
        <w:lastRenderedPageBreak/>
        <w:t>kanıyı yansıtan bir eleştiridir.</w:t>
      </w:r>
      <w:r w:rsidRPr="00E97E0B">
        <w:rPr>
          <w:rFonts w:ascii="Times" w:eastAsia="Calibri" w:hAnsi="Times" w:cs="Times New Roman"/>
          <w:sz w:val="24"/>
          <w:szCs w:val="24"/>
          <w:vertAlign w:val="superscript"/>
        </w:rPr>
        <w:footnoteReference w:id="182"/>
      </w:r>
      <w:r w:rsidRPr="00E97E0B">
        <w:rPr>
          <w:rFonts w:ascii="Times" w:eastAsia="Calibri" w:hAnsi="Times" w:cs="Times New Roman"/>
          <w:sz w:val="24"/>
          <w:szCs w:val="24"/>
        </w:rPr>
        <w:t xml:space="preserve"> Sol adına karşılaşılan aksamalarla bir dönemlik PS tecrübesi dışında Fransa’daki sağ ağırlıklı bir siyasal devamlılık sürdürülebilmiştir.</w:t>
      </w:r>
    </w:p>
    <w:p w14:paraId="3D997B5F" w14:textId="3D40AB9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Diğer taraftan, son yirmi yıla tekabül eden cumhurbaşkanına ve siyasi partiler listesine bakıldığında, partilerin ve liderlerin Fransa’da demografik kompozisyonunun siyasi ayrışmalarla daha orantılı bir şekilde dağılmasının getirdiği sistemsel esnekliğe ayak uydurmak söz konusu olduğundan iktidarda kalmak isteyen liderlerin daha dezavantajlı bir konumda olduğu düşünülebilir. Öte yandan, ancak</w:t>
      </w:r>
      <w:r w:rsidR="00E544FA" w:rsidRPr="00E97E0B">
        <w:rPr>
          <w:rFonts w:ascii="Times" w:eastAsia="Calibri" w:hAnsi="Times" w:cs="Times New Roman"/>
          <w:sz w:val="24"/>
          <w:szCs w:val="24"/>
        </w:rPr>
        <w:t xml:space="preserve"> </w:t>
      </w:r>
      <w:r w:rsidRPr="00E97E0B">
        <w:rPr>
          <w:rFonts w:ascii="Times" w:eastAsia="Calibri" w:hAnsi="Times" w:cs="Times New Roman"/>
          <w:sz w:val="24"/>
          <w:szCs w:val="24"/>
        </w:rPr>
        <w:t>Türkiye’deki siyasi ayrışmalarının nüfusa daha asimetrik bir şekilde dağıldığı görülmektedir. Fransa’daki bu orantılı dağılımın Endüstri Devrimi ve Fransız Devrimi’ne ve hatta kolonyal birikime dayandığı ileri sürülmektedir. Bu doğrultuda, 1958’den itibaren süregelen 5. Cumhuriyet’in iki turlu seçim sisteminden de etkilendiği söylenebilir.</w:t>
      </w:r>
    </w:p>
    <w:p w14:paraId="441EAF8C"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Siyasi gelişmelere ek olarak, endüstri Devrimi sonrası, Avrupa ve Amerika’daki rakip ve müttefiklerinin önemli bir kısmına kıyasla gelişme açısından geç kalmış olan Türkiye ile karşılaştırıldığında, Fransa, sanayileşme bakımından daha gelişmiş ve avantajlı bir konumda bulunduğundan 2. Dünya Savaşı sonrası küresel refahtan Türkiye’ye göre çok daha büyük bir pay almıştır. Buna ek olarak, kolonyal süreç ve sonraları BRICS gibi bölgesel ittifaklar oluşturan kuvvetçe yükselen devletlere karşı Avrupa Birliği (AB) çatısını kurmak suretiyle tedbir mahiyetinde ulusal kültürün yerine evrenselci, bireyci ve liberal değerleri daha fazla ön plana çıkaran Fransa, siyasal modeli kendisinden esinlenen Türkiye’ye nazaran ekonomik olarak çok daha stabil ve toplumsal anlamda bireyciliğin ve hukuk normlarının daha belirgin bir şekilde yerleştiği bir ülke olarak değerlendirilmektedir. Üstelik, siyasal sistemin değişimi ve uygulanması Fransız Devrimi’nden bu yana kesintili bir şekilde gerçekleşip 1870’lerden beri de 2. Dünya Savaşı sonrası kısa bir işgal dönemi dışında kesintisiz bir geçmişe sahip olduğu söylenebilir. Bütün bunlar, Fransa’daki siyasi çalkantılarının Türkiye’dekine kıyasla daha yumuşak seyretmesine neden olmuştur. Bu nedenle Fransa, toplumsal </w:t>
      </w:r>
      <w:r w:rsidRPr="00E97E0B">
        <w:rPr>
          <w:rFonts w:ascii="Times" w:eastAsia="Calibri" w:hAnsi="Times" w:cs="Times New Roman"/>
          <w:sz w:val="24"/>
          <w:szCs w:val="24"/>
        </w:rPr>
        <w:lastRenderedPageBreak/>
        <w:t xml:space="preserve">olarak sayıca dağılımı daha orantılı ve şiddetçe daha sakin bir siyasi kamplaşma görünümü vermektedir. </w:t>
      </w:r>
    </w:p>
    <w:p w14:paraId="68416500" w14:textId="7503A348"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Çalışmada her iki ülkedeki bahsi geçen iktidardaki liderlerin </w:t>
      </w:r>
      <w:r w:rsidRPr="00E97E0B">
        <w:rPr>
          <w:rFonts w:ascii="Times" w:eastAsia="Calibri" w:hAnsi="Times" w:cs="Times New Roman"/>
          <w:i/>
          <w:iCs/>
          <w:sz w:val="24"/>
          <w:szCs w:val="24"/>
        </w:rPr>
        <w:t xml:space="preserve">öteki </w:t>
      </w:r>
      <w:r w:rsidRPr="00E97E0B">
        <w:rPr>
          <w:rFonts w:ascii="Times" w:eastAsia="Calibri" w:hAnsi="Times" w:cs="Times New Roman"/>
          <w:sz w:val="24"/>
          <w:szCs w:val="24"/>
        </w:rPr>
        <w:t xml:space="preserve">olan ile ilgili konulandırma biçimleri gözlemlenerek anlaşılmaya ve açıklanmaya çalışılacaktır. Bu öteki konumlandırmalarında kimliğin, konumdaki değişkenliğin, belirginliğin ve hangi konular üzerinden </w:t>
      </w:r>
      <w:r w:rsidRPr="00E97E0B">
        <w:rPr>
          <w:rFonts w:ascii="Times" w:eastAsia="Calibri" w:hAnsi="Times" w:cs="Times New Roman"/>
          <w:i/>
          <w:iCs/>
          <w:sz w:val="24"/>
          <w:szCs w:val="24"/>
        </w:rPr>
        <w:t>öteki</w:t>
      </w:r>
      <w:r w:rsidRPr="00E97E0B">
        <w:rPr>
          <w:rFonts w:ascii="Times" w:eastAsia="Calibri" w:hAnsi="Times" w:cs="Times New Roman"/>
          <w:sz w:val="24"/>
          <w:szCs w:val="24"/>
        </w:rPr>
        <w:t>nin konumlandırıldığı</w:t>
      </w:r>
      <w:r w:rsidRPr="00E97E0B">
        <w:rPr>
          <w:rFonts w:ascii="Times" w:eastAsia="Calibri" w:hAnsi="Times" w:cs="Times New Roman"/>
          <w:i/>
          <w:iCs/>
          <w:sz w:val="24"/>
          <w:szCs w:val="24"/>
        </w:rPr>
        <w:t xml:space="preserve"> </w:t>
      </w:r>
      <w:r w:rsidRPr="00E97E0B">
        <w:rPr>
          <w:rFonts w:ascii="Times" w:eastAsia="Calibri" w:hAnsi="Times" w:cs="Times New Roman"/>
          <w:sz w:val="24"/>
          <w:szCs w:val="24"/>
        </w:rPr>
        <w:t>incelenmiştir. Yapılan söylem analizleri, bahsi geçen 2007-2012 yıllarını kapsayan dönemde inceleme konusu olan her iki liderlerin ulusal düzeyde yaptıkları farklı konuşmalarda öne çıkan ve seçilen kesitler üzerinden yapılmıştır. Konuşmalar, incelenen konuları ve vurguları en çok yansıttığı düşünülen ifadelerden seçilmiştir.</w:t>
      </w:r>
    </w:p>
    <w:p w14:paraId="2FCC945B" w14:textId="279C02C9"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Çalışmada dönemin başbakanı Erdoğan ve dönemin Cumhurbaşkanı Sarkozy’nin konuşmaları incelenmiştir. Yararlanılan kaynaklar siyasi liderlerin konuşma metinleridir. Konuşmaların metinleri ağırlıklı olarak her iki devletin resmi sitelerindeki açık erişimli arşivlerde yer almaktadır. Fransa cumhurbaşkanın konuşmaları için Fransa İçişleri Bakanlığı’nın resmî sitesi ve Başbakanlığa bağlı DILA</w:t>
      </w:r>
      <w:r w:rsidRPr="00E97E0B">
        <w:rPr>
          <w:rFonts w:ascii="Times" w:eastAsia="Calibri" w:hAnsi="Times" w:cs="Times New Roman"/>
          <w:sz w:val="24"/>
          <w:szCs w:val="24"/>
          <w:vertAlign w:val="superscript"/>
        </w:rPr>
        <w:footnoteReference w:id="183"/>
      </w:r>
      <w:r w:rsidRPr="00E97E0B">
        <w:rPr>
          <w:rFonts w:ascii="Times" w:eastAsia="Calibri" w:hAnsi="Times" w:cs="Times New Roman"/>
          <w:sz w:val="24"/>
          <w:szCs w:val="24"/>
        </w:rPr>
        <w:t xml:space="preserve"> tarafından düzenlenen vie-publique.fr sitesindeki arşivlerin yanı</w:t>
      </w:r>
      <w:r w:rsidR="00E544FA" w:rsidRPr="00E97E0B">
        <w:rPr>
          <w:rFonts w:ascii="Times" w:eastAsia="Calibri" w:hAnsi="Times" w:cs="Times New Roman"/>
          <w:sz w:val="24"/>
          <w:szCs w:val="24"/>
        </w:rPr>
        <w:t xml:space="preserve"> </w:t>
      </w:r>
      <w:r w:rsidRPr="00E97E0B">
        <w:rPr>
          <w:rFonts w:ascii="Times" w:eastAsia="Calibri" w:hAnsi="Times" w:cs="Times New Roman"/>
          <w:sz w:val="24"/>
          <w:szCs w:val="24"/>
        </w:rPr>
        <w:t xml:space="preserve">sıra bu sitelerde rastlanamayan ancak liderin görev süresi içinde oldukça büyük öneme sahip olan konuşma içerikleri için önde gelen gazetelerin sitelerindeki tam metin ya da parçalı metinlerden yararlanılmıştır. Ek olarak yine içeriğinin kapsamı çalışmaya katkısı bakımından ağır basan bir konuşmaya, yalnızca videosuna erişilebildiğinden konuşmanın transkripsiyonu ve çevirisi yapılmak suretiyle çalışmada yer verilmiştir. Türkiye başbakanının konuşmaları ise ağırlıklı olarak Cumhurbaşkanlığı’nın resmi yayını olan Cumhurbaşkanlığı Yayınları’nın yer aldığı erişime açık arşivlerden temin edilmiştir. Yeni Türkiye Vizyonu ana başlığında toplanan konuşma metinleri arşivi istifade edilen metinlerin ağırlıklı kısmını oluşturmaktadır, ayrıca yine burada rastlanamayan bazı kritik konuşma kesitleri için yer yer gazetelerden faydalanılmıştır. </w:t>
      </w:r>
    </w:p>
    <w:p w14:paraId="3D25A888" w14:textId="77777777" w:rsidR="008F05F8" w:rsidRPr="00E97E0B" w:rsidRDefault="002858AE" w:rsidP="008F05F8">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Bahsi geçen dönemde iktidar olan her iki liderin her ülkenin içindeki</w:t>
      </w:r>
      <w:r w:rsidRPr="00E97E0B">
        <w:rPr>
          <w:rFonts w:ascii="Times New Roman" w:eastAsia="Calibri" w:hAnsi="Times New Roman" w:cs="Times New Roman"/>
          <w:i/>
          <w:iCs/>
          <w:sz w:val="24"/>
          <w:szCs w:val="24"/>
        </w:rPr>
        <w:t xml:space="preserve"> öteki</w:t>
      </w:r>
      <w:r w:rsidRPr="00E97E0B">
        <w:rPr>
          <w:rFonts w:ascii="Times New Roman" w:eastAsia="Calibri" w:hAnsi="Times New Roman" w:cs="Times New Roman"/>
          <w:sz w:val="24"/>
          <w:szCs w:val="24"/>
        </w:rPr>
        <w:t xml:space="preserve">leri olan başlıca toplumsal kategoriler ile yine ülkelerin baskın siyasi gruplarının Erdoğan’ın ve Sarkozy’nin söylemlerinde aldıkları konumlar ve bu </w:t>
      </w:r>
      <w:r w:rsidRPr="00E97E0B">
        <w:rPr>
          <w:rFonts w:ascii="Times New Roman" w:eastAsia="Calibri" w:hAnsi="Times New Roman" w:cs="Times New Roman"/>
          <w:sz w:val="24"/>
          <w:szCs w:val="24"/>
        </w:rPr>
        <w:lastRenderedPageBreak/>
        <w:t xml:space="preserve">konumların hangi kategori ve yapılarla dile getirildiği, din, güvenlik, terör, ekonomi gibi konularda yaptıkları konuşmalar üzerinden aralarında ne gibi fark ve benzerlikler olduğu ele alınmıştır. </w:t>
      </w:r>
    </w:p>
    <w:p w14:paraId="5E45D2CC" w14:textId="3D59E7FD" w:rsidR="002858AE" w:rsidRPr="00E97E0B" w:rsidRDefault="002858AE" w:rsidP="008F05F8">
      <w:pPr>
        <w:pStyle w:val="Heading2"/>
      </w:pPr>
      <w:bookmarkStart w:id="110" w:name="_Toc141133084"/>
      <w:r w:rsidRPr="00E97E0B">
        <w:t>3.</w:t>
      </w:r>
      <w:r w:rsidR="002B7FA9" w:rsidRPr="00E97E0B">
        <w:t>3</w:t>
      </w:r>
      <w:r w:rsidRPr="00E97E0B">
        <w:t>. Fransa’nın Siyasi Sistemin Tarihi, Yapısı ve Özellikleri</w:t>
      </w:r>
      <w:bookmarkEnd w:id="110"/>
    </w:p>
    <w:p w14:paraId="37B4B38D" w14:textId="781116BA" w:rsidR="002858AE" w:rsidRPr="00E97E0B" w:rsidRDefault="002858AE" w:rsidP="002B7FA9">
      <w:pPr>
        <w:pStyle w:val="Heading3"/>
      </w:pPr>
      <w:bookmarkStart w:id="111" w:name="_Toc141133085"/>
      <w:r w:rsidRPr="00E97E0B">
        <w:t>3.</w:t>
      </w:r>
      <w:r w:rsidR="002B7FA9" w:rsidRPr="00E97E0B">
        <w:t>3</w:t>
      </w:r>
      <w:r w:rsidRPr="00E97E0B">
        <w:t>.1. V. Cumhuriyet Öncesi Siyasi Koşullar</w:t>
      </w:r>
      <w:bookmarkEnd w:id="111"/>
    </w:p>
    <w:p w14:paraId="2A590117" w14:textId="28D85BA6"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Fransa’da parti sistemi, 19. Yüzyılın sonlarına doğru teşekkül etmeye başlamıştır. Öncesinde parti kavramsal olarak, ülkedeki siyasi fikir ayrılıklarını kastetmekle birlikte herhangi bir örgütlenmeye işaret etmemekteydi. 19. yüzyılın ortasında, II. Cumhuriyetle birlikte ilk defa tüm erkek vatandaşların seçim yapması söz konusu olsa dahi bu demokrasi deneyimi uzun bir süreliğine İmparatorluk düzeni tarafından yeniden ikame edilmiştir. Sonrasında, III. Cumhuriyet ile düzenli olarak seçimlerin yapılabildiğini ilk dönem, 1870’te başlamıştır. IV. Cumhuriyet, II. Dünya Savaşı sırasında Paris’in işgaliyle birlikte kısa bir aranın ardından 1958’e kadar sürmüştür. Soylu kesimlerin hâkim olduğu, ancaksoylu kesimlere karşı çıkarlarını koruyabilmek için örgütlenme ihtiyacı duyan daha alt sosyal kategorilerin siyasal hayat, sistemin kurumsallaşmasıyla, III. Cumhuriyetten itibaren düzenli seçimlere ve dolayısıyla siyasi partilerin oluşumunu beraberinde getirmiştir.</w:t>
      </w:r>
      <w:r w:rsidRPr="00E97E0B">
        <w:rPr>
          <w:rFonts w:ascii="Times New Roman" w:eastAsia="Calibri" w:hAnsi="Times New Roman" w:cs="Times New Roman"/>
          <w:sz w:val="24"/>
          <w:szCs w:val="24"/>
          <w:vertAlign w:val="superscript"/>
        </w:rPr>
        <w:footnoteReference w:id="184"/>
      </w:r>
      <w:r w:rsidRPr="00E97E0B">
        <w:rPr>
          <w:rFonts w:ascii="Times New Roman" w:eastAsia="Calibri" w:hAnsi="Times New Roman" w:cs="Times New Roman"/>
          <w:sz w:val="24"/>
          <w:szCs w:val="24"/>
        </w:rPr>
        <w:t xml:space="preserve"> Bununla birlikte, siyasi rekabete ilk dönemlerde giren kişilerin parti örgütlenmelerinin dağınık ve zayıf olmasından ve siyasete ayırdıkları sermayenin ölçeğindeki çeşitlilikten ötürü, kurumsal yapıdan görece bağımsız olmaları ve buna bağlı olarak partiler arası ve parti içi ayrışma ve fragmantasyonun yaygın olduğu görülmektedir. 19. yüzyılda soylular, burjuvazi, köylüler ve işçi sınıfı olmak üzerinden gerçekleşen siyasi bölünme, temsiliyette ekonomideki ve toplumdaki üretim üzerinden; liberalizm sosyalizm veya karşı devrimcilik şeklinde ayrılmıştır.  Ayrıca, devletin rolü üzerinden; liberalizm veya devletçilik şeklinde, rejim anlayışı üzerinden; monarşi yanlısı veya cumhuriyetçi olarak, devlet-Kilise ilişkisi bakımından ise ruhbancı veya laik olarak ayrılmıştır. Sonrasında, soyluluk, siyasi ortamdaki etkisini kaybedip, işçiler, burjuvazi, memurlar diğer gruplar, üretim </w:t>
      </w:r>
      <w:r w:rsidRPr="00E97E0B">
        <w:rPr>
          <w:rFonts w:ascii="Times New Roman" w:eastAsia="Calibri" w:hAnsi="Times New Roman" w:cs="Times New Roman"/>
          <w:sz w:val="24"/>
          <w:szCs w:val="24"/>
        </w:rPr>
        <w:lastRenderedPageBreak/>
        <w:t xml:space="preserve">ilişkileri nedeniyle çeşitlendiğinden, uçlardan merkeze doğru çeşitlilik gösteren bir siyasi yelpaze oluşmuştur. </w:t>
      </w:r>
    </w:p>
    <w:p w14:paraId="338B932B" w14:textId="2E64A7DF"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İkinci Dünya Savaşı esnasındaki kısa süreli otorite boşluk dışında, , 19. yüzyılın son çeyreğinden itibaren III. Cumhuriyetle birlikte kesintisiz devam eden ve kurumsallaşmış cumhuriyet rejiminden bahsedilebilir. 1946’dan itibaren IV. Cumhuriyet olarak başlayan dönem, 1958’de Charles de Gaulle’ün desteklediği anayasa taslağının referandum ile kabul edilmesi sonucu, V. Cumhuriyet olarak bilinen sistem günümüze kadar gelmiştir. Ancak, bu sistem, zaman zaman çeşitli değişikliklere uğramıştır. III. ve IV. Cumhuriyetler arasında siyasal rejim açısından ortak özellik, yürütmenin zayıf ve yasamanın görece kuvvetli olmasıdır. Bu durum, cumhurbaşkanını ve hükümeti V. Cumhuriyet anayasasındakine nispetle sembolik bir şekilde konumlandırması anlamına da gelmektedir. III. Cumhuriyet’in yasama seçimleri, tek isimli iki turlu çoğunlukçu seçim sisteminden, IV. Cumhuriyet’te nisbi temsil sistemine geçmiştir, fakat</w:t>
      </w:r>
      <w:r w:rsidR="00BB2D30"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 xml:space="preserve">her ikisinde de başkan, delegelerin oyuyla seçilirken; parlamento doğrudan seçimle göreve gelmekteydi. Her iki anayasada da iki kamaralı meclis olmuş olsa da III. Cumhuriyet’te Senato, hükümet üzerinde daha fazla kontrole sahipken; IV. Cumhuriyet’te Ulusal Meclis bu kontrole sahipti. Ayrıca, IV. Cumhuriyet’te üst meclis olan Cumhuriyet Kurulu’nun (Conseil de la </w:t>
      </w:r>
      <w:r w:rsidR="00BB2D30" w:rsidRPr="00E97E0B">
        <w:rPr>
          <w:rFonts w:ascii="Times New Roman" w:eastAsia="Calibri" w:hAnsi="Times New Roman" w:cs="Times New Roman"/>
          <w:sz w:val="24"/>
          <w:szCs w:val="24"/>
        </w:rPr>
        <w:t>R</w:t>
      </w:r>
      <w:r w:rsidRPr="00E97E0B">
        <w:rPr>
          <w:rFonts w:ascii="Times New Roman" w:eastAsia="Calibri" w:hAnsi="Times New Roman" w:cs="Times New Roman"/>
          <w:sz w:val="24"/>
          <w:szCs w:val="24"/>
        </w:rPr>
        <w:t>épublique) yetkileri sınırlandırılmıştı. III. Cumhuriyet’ten ve II. Dünya Savaşı’nın hemen ardından 1946’da kurulan IV. Cumhuriyet’in esas kaygısı, kişiye dayanan yönetimlerin oluşmasını engellemek olduğundan, Ulusal Meclis oldukça güçlü bir hâle getirilmiştir. Ulusal Meclis’in güçlenmesiyle, yüksek meclis olan Cumhuriyet Kurulu, esasen tavsiye niteliğinde kararlar almaktaydı.</w:t>
      </w:r>
      <w:r w:rsidRPr="00E97E0B">
        <w:rPr>
          <w:rFonts w:ascii="Times New Roman" w:eastAsia="Calibri" w:hAnsi="Times New Roman" w:cs="Times New Roman"/>
          <w:sz w:val="24"/>
          <w:szCs w:val="24"/>
          <w:vertAlign w:val="superscript"/>
        </w:rPr>
        <w:footnoteReference w:id="185"/>
      </w:r>
      <w:r w:rsidRPr="00E97E0B">
        <w:rPr>
          <w:rFonts w:ascii="Times New Roman" w:eastAsia="Calibri" w:hAnsi="Times New Roman" w:cs="Times New Roman"/>
          <w:sz w:val="24"/>
          <w:szCs w:val="24"/>
        </w:rPr>
        <w:t xml:space="preserve"> Yürütmeyi zayıf kılan bu anayasa, 1946’dan 1958’e kadar, yirmi hükümetin göreve gelmesine neden olduğundan, sistemin bu açığı, sonraki anayasanın yapıcısı De Gaulle tarafından dikkate alınmıştır. </w:t>
      </w:r>
    </w:p>
    <w:p w14:paraId="0C999ADC" w14:textId="46C226D5" w:rsidR="002858AE" w:rsidRPr="00E97E0B" w:rsidRDefault="00E93FD2" w:rsidP="002B7FA9">
      <w:pPr>
        <w:pStyle w:val="Heading3"/>
      </w:pPr>
      <w:bookmarkStart w:id="112" w:name="_Toc141133086"/>
      <w:r w:rsidRPr="00E97E0B">
        <w:t>3.</w:t>
      </w:r>
      <w:r w:rsidR="002B7FA9" w:rsidRPr="00E97E0B">
        <w:t>3</w:t>
      </w:r>
      <w:r w:rsidRPr="00E97E0B">
        <w:t xml:space="preserve">.2. </w:t>
      </w:r>
      <w:r w:rsidR="002858AE" w:rsidRPr="00E97E0B">
        <w:t>V. Cumhuriyet Anayasasının Siyasi Rejimi</w:t>
      </w:r>
      <w:bookmarkEnd w:id="112"/>
    </w:p>
    <w:p w14:paraId="7BD6B346"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V. Cumhuriyet anayasası, Fransa’da yürütmenin yasamaya karşı güçlendirildiği veAnayasa Mahkemesi’nin en yüksek yargı organı olarak hükümeti </w:t>
      </w:r>
      <w:r w:rsidRPr="00E97E0B">
        <w:rPr>
          <w:rFonts w:ascii="Times New Roman" w:eastAsia="Calibri" w:hAnsi="Times New Roman" w:cs="Times New Roman"/>
          <w:sz w:val="24"/>
          <w:szCs w:val="24"/>
        </w:rPr>
        <w:lastRenderedPageBreak/>
        <w:t xml:space="preserve">ve yasamayı denetleyen bir unsur olarak dahil edildiği ilk sistemdir. Her ne kadar bu konuda kısıtlayıcı bir anayasal zorunluluk olmasa da Fransa’da cumhurbaşkanlığı kesinleşen hiçbir aday, partisiyle ilişkisi sürse de partisinin yöneticisi olmayı tercih etmemiştir. Çoğu zaman adaylık kesinleştiğinde parti başkanlığından istifa edilmektedir. Adaylığın kesinleşmesiyle parti başkanlığından istifa edilmesi, hem cumhurbaşkanlığının parti kimliğinin ötesinde kişisel bir anlamının olmasından, hem de adayın kampanya sürecine odaklanmasını kolaylaştıracağından tercih edilmektedir. Bu siyasi geleneğin temel nedeni ise cumhurbaşkanının partilerin de üzerinde bir konumu olması gerektiğine dair genel kanıdır. </w:t>
      </w:r>
    </w:p>
    <w:p w14:paraId="76A87DF6"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V. Cumhuriyet dönemi ile ilgili diğer önemli bir özellik, yüksek düzey memurların siyasette etkin oldukları, parlamentonun yetkilerinin normlarla net bir şekilde belirlendiği ve hükümetin icraat olanaklarının artırıldığı bir sisteme sahip olmasıdır. Diğer taraftan, bu dönemdeki yöneticilerin çoğunluğunun benzer bir eğitim ve çevreye sahip ve benzer eğitimler alan kişiler olduğunu söylemek mümkündür.</w:t>
      </w:r>
      <w:r w:rsidRPr="00E97E0B">
        <w:rPr>
          <w:rFonts w:ascii="Times New Roman" w:eastAsia="Calibri" w:hAnsi="Times New Roman" w:cs="Times New Roman"/>
          <w:sz w:val="24"/>
          <w:szCs w:val="24"/>
          <w:vertAlign w:val="superscript"/>
        </w:rPr>
        <w:footnoteReference w:id="186"/>
      </w:r>
      <w:r w:rsidRPr="00E97E0B">
        <w:rPr>
          <w:rFonts w:ascii="Times New Roman" w:eastAsia="Calibri" w:hAnsi="Times New Roman" w:cs="Times New Roman"/>
          <w:sz w:val="24"/>
          <w:szCs w:val="24"/>
        </w:rPr>
        <w:t xml:space="preserve"> Çoğunlukla </w:t>
      </w:r>
      <w:r w:rsidRPr="00E97E0B">
        <w:rPr>
          <w:rFonts w:ascii="Times New Roman" w:eastAsia="Calibri" w:hAnsi="Times New Roman" w:cs="Times New Roman"/>
          <w:i/>
          <w:iCs/>
          <w:sz w:val="24"/>
          <w:szCs w:val="24"/>
        </w:rPr>
        <w:t>Grandes écoles</w:t>
      </w:r>
      <w:r w:rsidRPr="00E97E0B">
        <w:rPr>
          <w:rFonts w:ascii="Times New Roman" w:eastAsia="Calibri" w:hAnsi="Times New Roman" w:cs="Times New Roman"/>
          <w:sz w:val="24"/>
          <w:szCs w:val="24"/>
        </w:rPr>
        <w:t xml:space="preserve"> adı verilen prestijli okulların seçkin bir çevreden öğrenci aldığı, mezunlarının da siyasette ve memuriyette yoğun olduğu bilinmektedir. Ayrıca bu okulların teknokrat eğilimleri güçlü kadrolar yetiştirdiği eleştirisi yaygındır.</w:t>
      </w:r>
      <w:r w:rsidRPr="00E97E0B">
        <w:rPr>
          <w:rFonts w:ascii="Times New Roman" w:eastAsia="Calibri" w:hAnsi="Times New Roman" w:cs="Times New Roman"/>
          <w:sz w:val="24"/>
          <w:szCs w:val="24"/>
          <w:vertAlign w:val="superscript"/>
        </w:rPr>
        <w:footnoteReference w:id="187"/>
      </w:r>
      <w:r w:rsidRPr="00E97E0B">
        <w:rPr>
          <w:rFonts w:ascii="Times New Roman" w:eastAsia="Calibri" w:hAnsi="Times New Roman" w:cs="Times New Roman"/>
          <w:sz w:val="24"/>
          <w:szCs w:val="24"/>
        </w:rPr>
        <w:t xml:space="preserve"> Cumhurbaşkanı halk tarafından seçilmekte ve cumhurbaşkanı da hükümet de Ulusal Meclis’e karşı sorumlu tutulmaktadır. Başbakan da hükümetin başı olmakla birlikte hem cumhurbaşkanına hem Meclis’e karşı sorumludur. Ancak başbakan, cumhurbaşkanı tarafından, Meclis üyeleri arasından, Meclis çoğunluğunu temsil eden üyelerden seçilerek belirlenir ve başbakan da hükümetin başı konumundadır. Bu yarı-başkanlık sisteminde, cumhurbaşkanı ve başbakanın arasındaki güç dengesi özellikle farklı partilerden olmaları durumunda tartışılagelen bir konu olmuştur.</w:t>
      </w:r>
      <w:r w:rsidRPr="00E97E0B">
        <w:rPr>
          <w:rFonts w:ascii="Times New Roman" w:eastAsia="Calibri" w:hAnsi="Times New Roman" w:cs="Times New Roman"/>
          <w:sz w:val="24"/>
          <w:szCs w:val="24"/>
          <w:vertAlign w:val="superscript"/>
        </w:rPr>
        <w:t xml:space="preserve"> </w:t>
      </w:r>
      <w:r w:rsidRPr="00E97E0B">
        <w:rPr>
          <w:rFonts w:ascii="Times New Roman" w:eastAsia="Calibri" w:hAnsi="Times New Roman" w:cs="Times New Roman"/>
          <w:sz w:val="24"/>
          <w:szCs w:val="24"/>
        </w:rPr>
        <w:t>Başbakanın diğer bir rolü ise, atanma süreci nedeniyle hem yürütmenin başı olan Cumhurbaşkanı hem de Meclis çoğunluğu arasında bir denge kuram bir pozisyonda olmasıdır.</w:t>
      </w:r>
      <w:r w:rsidRPr="00E97E0B">
        <w:rPr>
          <w:rFonts w:ascii="Times New Roman" w:eastAsia="Calibri" w:hAnsi="Times New Roman" w:cs="Times New Roman"/>
          <w:sz w:val="24"/>
          <w:szCs w:val="24"/>
          <w:vertAlign w:val="superscript"/>
        </w:rPr>
        <w:footnoteReference w:id="188"/>
      </w:r>
      <w:r w:rsidRPr="00E97E0B">
        <w:rPr>
          <w:rFonts w:ascii="Times New Roman" w:eastAsia="Calibri" w:hAnsi="Times New Roman" w:cs="Times New Roman"/>
          <w:sz w:val="24"/>
          <w:szCs w:val="24"/>
        </w:rPr>
        <w:t xml:space="preserve"> Ancak bu sorunu büyük ölçüde çözen yasa, 2000’de cumhurbaşkanlığı görev süresini yasama </w:t>
      </w:r>
      <w:r w:rsidRPr="00E97E0B">
        <w:rPr>
          <w:rFonts w:ascii="Times New Roman" w:eastAsia="Calibri" w:hAnsi="Times New Roman" w:cs="Times New Roman"/>
          <w:sz w:val="24"/>
          <w:szCs w:val="24"/>
        </w:rPr>
        <w:lastRenderedPageBreak/>
        <w:t xml:space="preserve">seçimine rast gelecek şekilde beş yıla indiren kanun olmuştur, çünkü ülkenin tarihinde görülen üç </w:t>
      </w:r>
      <w:r w:rsidRPr="00E97E0B">
        <w:rPr>
          <w:rFonts w:ascii="Times New Roman" w:eastAsia="Calibri" w:hAnsi="Times New Roman" w:cs="Times New Roman"/>
          <w:i/>
          <w:iCs/>
          <w:sz w:val="24"/>
          <w:szCs w:val="24"/>
        </w:rPr>
        <w:t>cohabitation</w:t>
      </w:r>
      <w:r w:rsidRPr="00E97E0B">
        <w:rPr>
          <w:rFonts w:ascii="Times New Roman" w:eastAsia="Calibri" w:hAnsi="Times New Roman" w:cs="Times New Roman"/>
          <w:sz w:val="24"/>
          <w:szCs w:val="24"/>
        </w:rPr>
        <w:t xml:space="preserve"> döneminde başkanlık sistemi rejiminin muhalefetin başbakan çıkarması durumunda pratikte parlamenter sisteme dönüştüğü gözlenmiştir. Bu aynı zamanda cumhurbaşkanlığı seçiminin hemen ardından gelen bir Meclis seçiminde, sonucun benzer olacağı kanaatini güçlendirdiğinden ötürü seçmen katılımını düşündürmektedir.</w:t>
      </w:r>
      <w:r w:rsidRPr="00E97E0B">
        <w:rPr>
          <w:rFonts w:ascii="Times New Roman" w:eastAsia="Calibri" w:hAnsi="Times New Roman" w:cs="Times New Roman"/>
          <w:sz w:val="24"/>
          <w:szCs w:val="24"/>
          <w:vertAlign w:val="superscript"/>
        </w:rPr>
        <w:footnoteReference w:id="189"/>
      </w:r>
    </w:p>
    <w:p w14:paraId="38F5382F" w14:textId="4DCB68DC" w:rsidR="002858AE" w:rsidRPr="00E97E0B" w:rsidRDefault="002858AE" w:rsidP="002B7FA9">
      <w:pPr>
        <w:pStyle w:val="Heading3"/>
      </w:pPr>
      <w:bookmarkStart w:id="113" w:name="_Toc141133087"/>
      <w:r w:rsidRPr="00E97E0B">
        <w:t>3.</w:t>
      </w:r>
      <w:r w:rsidR="002B7FA9" w:rsidRPr="00E97E0B">
        <w:t>3.</w:t>
      </w:r>
      <w:r w:rsidRPr="00E97E0B">
        <w:t>3. V. Cumhuriyet’in Kuruluşu</w:t>
      </w:r>
      <w:bookmarkEnd w:id="113"/>
    </w:p>
    <w:p w14:paraId="3279399E"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Fransa, Alman işgali sırasında Vichy Hükümeti ülkenin yarısını hükümet etse de seçimle gelmediğinden ve Almanlarla işbirliği halinde olduğundan, bu dönem genellikle bir parantez olarak kabul edilmektedir. Bununla birlikte, işgalin ardından Fransa Cumhuriyeti Geçici Hükümeti (GPRF) kurulmuş ve De Gaulle bu geçici hükümetin başkanı olmuştur. Ancak direniş sırasında etkili olan sosyalist ve komünistlerin ağırlıkta olduğu diğer grupların politik ağırlığı nedeniyle, yeni Anayasa (IV. Cumhuriyet) ve seçimle gelen hükümette De Gaulle yer alamamıştır, fakat 1947’de Fransız Halkı için Birlik (RPF) Partisi’ni kurmuştur. Bu yeni anayasa, özellikle işgali gerçekleştiren otoriter devletlere karşı da bir tepki ve önlem olarak, yasamanın güçlü, yürütmenin zayıf olduğu III. Cumhuriyet Anayasası’na pek çok açıdan benzemektedir. Kurtuluş sonrası dönemde 1969’da kurulan Sosyalist Parti’nin (PS) devamı olduğu Fransız İşçi Enternasyonal Seksiyonu (SFIO), Fransız Komünist Partisi (PCF) ve radikaller olarak da tabir edilen merkez sağ ve Hristiyan-demokrat olan Cumhuriyetçi Halk Hareketi (MRP) ve beraberindeki Radikal Parti siyasi alanda baskın konumda olmuştur. Her birinin kabineye yansıması, yakın dönemlerde olmuştur.</w:t>
      </w:r>
      <w:r w:rsidRPr="00E97E0B">
        <w:rPr>
          <w:rFonts w:ascii="Times New Roman" w:eastAsia="Calibri" w:hAnsi="Times New Roman" w:cs="Times New Roman"/>
          <w:sz w:val="24"/>
          <w:szCs w:val="24"/>
          <w:vertAlign w:val="superscript"/>
        </w:rPr>
        <w:footnoteReference w:id="190"/>
      </w:r>
      <w:r w:rsidRPr="00E97E0B">
        <w:rPr>
          <w:rFonts w:ascii="Times New Roman" w:eastAsia="Calibri" w:hAnsi="Times New Roman" w:cs="Times New Roman"/>
          <w:sz w:val="24"/>
          <w:szCs w:val="24"/>
        </w:rPr>
        <w:t xml:space="preserve"> 1954 yılına gelindiğinde, siyasal yaşamda bütçe ile ilgili sorunlar, Hindiçin’de kolonilere karşı kaybedilen savaşlar ve Laos, Kamboçya ve Vietnam’ın bağımsızlıklarını kazanmaları akabinde Cezayir’de de bağımsızlık talebiyle ayaklanmalar başlamıştır. IV. Cumhuriyet dönemi, savaş sonrası ekonomik toparlanmanın başarıldığı, enflasyonla mücadelenin ve üretime dayalı büyümenin arttığı, Avrupa bütünleşmesinin temellerinin atıldığı, diğer yandan, kolonilerle ilgili istikrarsızlıkların görüldüğü ve </w:t>
      </w:r>
      <w:r w:rsidRPr="00E97E0B">
        <w:rPr>
          <w:rFonts w:ascii="Times New Roman" w:eastAsia="Calibri" w:hAnsi="Times New Roman" w:cs="Times New Roman"/>
          <w:sz w:val="24"/>
          <w:szCs w:val="24"/>
        </w:rPr>
        <w:lastRenderedPageBreak/>
        <w:t>sık hükümet değişikliklerinin yapıldığı bir dönem özelliği taşımaktadır. Bu dönemde, meclis içinde Avrupa bütünleşmesi meselesinde, egemenlikçilere karşı bütünleşme yanlısı olanlar ve koloniler meselesinde daha baskıcı ve daha serbest davranılmasını savunanlar şeklinde çeşitli ayrılıklar oluştuğundan ve yürütmenin yasamaya göre zayıf kalmasından ötürü siyasi istikrarsızlıklar meydana gelmiş ve karar alma süreçleri uzamıştır. Bu dönemde yaşanan sorunlardan biri de o dönemde Fransız toprağı olan Cezayir’de bağımsızlık talepleri yükselmeye başlamıştı.  Cezayir sorunu, Fransa’da IV. Cumhuriyet anayasasının ortadan kalkmasında büyük rol oynamıştır, çünkü Cezayir’in özel statüsü bulunmaktaydı ve Cezayir Valisi seçimle işbaşına gelmekteydi, ancak 9 milyon Müslüman nüfusla, 1 milyon Avrupa kökenli nüfus, eşit sayıda milletvekili çıkarmaktaydı. Ayrıca, Cezayir’de üretimin çoğunluğu Avrupa kökenli nüfusun kontrolündeydi. Bu durum, Hindiçin bölgesindeki dekolonizasyonun etkisiyle, Cezayir’deki gerilimi tetiklemiştir. Cezayir olayları, Fransa’da hükümetin değişmesinde, Charles de Gaulle’ün iktidara gelmesinde ve Fransa’nın V. Cumhuriyet anayasasının oluşmasında önemli ölçüde belirleyici olmuştur.</w:t>
      </w:r>
      <w:r w:rsidRPr="00E97E0B">
        <w:rPr>
          <w:rFonts w:ascii="Times New Roman" w:eastAsia="Calibri" w:hAnsi="Times New Roman" w:cs="Times New Roman"/>
          <w:sz w:val="24"/>
          <w:szCs w:val="24"/>
          <w:vertAlign w:val="superscript"/>
        </w:rPr>
        <w:footnoteReference w:id="191"/>
      </w:r>
      <w:r w:rsidRPr="00E97E0B">
        <w:rPr>
          <w:rFonts w:ascii="Times New Roman" w:eastAsia="Calibri" w:hAnsi="Times New Roman" w:cs="Times New Roman"/>
          <w:sz w:val="24"/>
          <w:szCs w:val="24"/>
        </w:rPr>
        <w:t xml:space="preserve"> 1958’de, De Gaulle, böyle bir durumda Meclis’te durumu düzeltmek üzere 6 ay süreliğine yetki istemiş ve 1958’de IV. Cumhuriyet’in son cumhurbaşkanı olmuştur. Düzenlenmesinde rol aldığı V. Cumhuriyet anayasa taslağı, halk oylamasında %80 evet oranı ile onaylanmıştır. Elde edilen yüksek oran, anayasanın meşruiyet zemininin ne denli güçlü olduğuna ve neden yarım yüzyılı geçkin bir süredir geçerliliğinin devam ettiğine dair fikir vermektedir.</w:t>
      </w:r>
      <w:r w:rsidRPr="00E97E0B">
        <w:rPr>
          <w:rFonts w:ascii="Times New Roman" w:eastAsia="Calibri" w:hAnsi="Times New Roman" w:cs="Times New Roman"/>
          <w:sz w:val="24"/>
          <w:szCs w:val="24"/>
          <w:vertAlign w:val="superscript"/>
        </w:rPr>
        <w:footnoteReference w:id="192"/>
      </w:r>
      <w:r w:rsidRPr="00E97E0B">
        <w:rPr>
          <w:rFonts w:ascii="Times New Roman" w:eastAsia="Calibri" w:hAnsi="Times New Roman" w:cs="Times New Roman"/>
          <w:sz w:val="24"/>
          <w:szCs w:val="24"/>
        </w:rPr>
        <w:t xml:space="preserve"> De Gaulle, 1965’te tekrar seçilerek doğrudan halk oyu ile seçilen ilk cumhurbaşkanı olmuştur. </w:t>
      </w:r>
    </w:p>
    <w:p w14:paraId="6FA4345E"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1958’den bu yana devam eden V. Cumhuriyet anayasası, bazı ufak değişikliklere uğrasa da yürütmenin gücünün artırıldığı parlamenter bir yarıbaşkanlık sistemini sürdürmektedir. Bu sistem, hükümetin çıkarmak istediği kanunları Meclis’in bir güvenoyuna gitmesi ve güvensizlik oyu vermesi durumu dışında büyük ölçüde koruyabilmesine imkân tanımaktadır. Bu da hükümete Meclis çoğunluğunun istemeyeceği kanunları mecbur kaldığı durumlarda çıkarabilme imkânı tanımaktadır. Ayrıca, hükümetin azınlık hükümeti durumuna düşmesi </w:t>
      </w:r>
      <w:r w:rsidRPr="00E97E0B">
        <w:rPr>
          <w:rFonts w:ascii="Times New Roman" w:eastAsia="Calibri" w:hAnsi="Times New Roman" w:cs="Times New Roman"/>
          <w:sz w:val="24"/>
          <w:szCs w:val="24"/>
        </w:rPr>
        <w:lastRenderedPageBreak/>
        <w:t>halinde başkanın Meclis’i fesih yetkisi bulunmaktadır. Bütün bunlar, siyasi istikrarsızlık ihtimalini, büyük ölçüde yürütmenin lehine azaltmıştır.</w:t>
      </w:r>
      <w:r w:rsidRPr="00E97E0B">
        <w:rPr>
          <w:rFonts w:ascii="Times New Roman" w:eastAsia="Calibri" w:hAnsi="Times New Roman" w:cs="Times New Roman"/>
          <w:sz w:val="24"/>
          <w:szCs w:val="24"/>
          <w:vertAlign w:val="superscript"/>
        </w:rPr>
        <w:footnoteReference w:id="193"/>
      </w:r>
      <w:r w:rsidRPr="00E97E0B">
        <w:rPr>
          <w:rFonts w:ascii="Times New Roman" w:eastAsia="Calibri" w:hAnsi="Times New Roman" w:cs="Times New Roman"/>
          <w:sz w:val="24"/>
          <w:szCs w:val="24"/>
        </w:rPr>
        <w:t xml:space="preserve"> Ek olarak, Cumhurbaşkanı, ülkenin bağımsızlığı veya sistemin sağlıklı işlemesi tehlike altında olduğunda, olağanüstü yetkileri kullanma hakkıyla donatılmıştır. Yürürlüğe girdiğinde Cumhurbaşkanı dolaylı genel oy ile seçilirken; 1962’de seçim türü doğrudan iki turlu genel oy şeklinde değişikliğe uğramıştır. Cumhurbaşkanı görev süresi 7 yıl, Meclis’in görev süresi 5 yıl olacak şekilde ve yerel seçimle gelen Senato’nun üye tam sayısının üçte biri sırayla 3 yılda bir sırayla değişecek şekilde tasarlanmıştır. Ayrıca, Anayasa Mahkemesi, yargının yasama ve yürütmeyi, dengeleyici nitelikte en üst bağımsız organı olarak tasarlanmıştır. Anayasa Mahkemesi’nin 9 üyesinin üçte biri cumhurbaşkanı, üçte biri Meclis, üçte biri ise Senato tarafından atanmaktadır.</w:t>
      </w:r>
      <w:r w:rsidRPr="00E97E0B">
        <w:rPr>
          <w:rFonts w:ascii="Times New Roman" w:eastAsia="Calibri" w:hAnsi="Times New Roman" w:cs="Times New Roman"/>
          <w:sz w:val="24"/>
          <w:szCs w:val="24"/>
          <w:vertAlign w:val="superscript"/>
        </w:rPr>
        <w:footnoteReference w:id="194"/>
      </w:r>
      <w:r w:rsidRPr="00E97E0B">
        <w:rPr>
          <w:rFonts w:ascii="Times New Roman" w:eastAsia="Calibri" w:hAnsi="Times New Roman" w:cs="Times New Roman"/>
          <w:sz w:val="24"/>
          <w:szCs w:val="24"/>
        </w:rPr>
        <w:t xml:space="preserve"> </w:t>
      </w:r>
    </w:p>
    <w:p w14:paraId="0979EF6A"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Cumhurbaşkanının görev süresi 2002 yılında 5 yıla indirilmiş ve Ulusal Meclis seçimleriyle art arda yapılacak şekilde aynı yıl yapılmaya başlanmıştır. Bunun nedeni, François Mitterand’ın 14 yıllık iki dönem süren cumhurbaşkanlığının belli dönemlerinde ve Jacques Chirac’ın cumhurbaşkanlığının belli bir kısmında, Meclis’te kendi ittifaklarının çoğunluğu sağlayamaması ve bu nedenle </w:t>
      </w:r>
      <w:r w:rsidRPr="00E97E0B">
        <w:rPr>
          <w:rFonts w:ascii="Times New Roman" w:eastAsia="Calibri" w:hAnsi="Times New Roman" w:cs="Times New Roman"/>
          <w:i/>
          <w:iCs/>
          <w:sz w:val="24"/>
          <w:szCs w:val="24"/>
        </w:rPr>
        <w:t>cohabitation</w:t>
      </w:r>
      <w:r w:rsidRPr="00E97E0B">
        <w:rPr>
          <w:rFonts w:ascii="Times New Roman" w:eastAsia="Calibri" w:hAnsi="Times New Roman" w:cs="Times New Roman"/>
          <w:sz w:val="24"/>
          <w:szCs w:val="24"/>
        </w:rPr>
        <w:t xml:space="preserve"> adı verilen dönemlerinde yürütmenin karar alma süreçlerinde çıkan sorunlardır. </w:t>
      </w:r>
    </w:p>
    <w:p w14:paraId="25E27353" w14:textId="001B5EC8"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1962’de Cezayir’in bağımsızlığının yolu, otodeterminasyon hakkının Cezayir’e verilmesi için yapılan referandumda, solun da desteğiyle Fransa anakarasının %75 oranında “evet” oyu vermesiyle açılmıştır. Ancak, bu konuda hem genel olarak Fransa solu hem de Cezayir’in bağımsızlığını talep eden Cezayir Ulusal Kurtuluş Cephesi (FLN) tarafından gerçekleştirilen protestolar hem de Cezayir’e bağımsızlık verilmesini istemeyen birtakım askerlerin darbe teşebbüsü siyasi gerilimi artırmıştır. Söz konusu siyasi </w:t>
      </w:r>
      <w:r w:rsidR="00C84DEE" w:rsidRPr="00E97E0B">
        <w:rPr>
          <w:rFonts w:ascii="Times New Roman" w:eastAsia="Calibri" w:hAnsi="Times New Roman" w:cs="Times New Roman"/>
          <w:sz w:val="24"/>
          <w:szCs w:val="24"/>
        </w:rPr>
        <w:t>gerilim</w:t>
      </w:r>
      <w:r w:rsidRPr="00E97E0B">
        <w:rPr>
          <w:rFonts w:ascii="Times New Roman" w:eastAsia="Calibri" w:hAnsi="Times New Roman" w:cs="Times New Roman"/>
          <w:sz w:val="24"/>
          <w:szCs w:val="24"/>
        </w:rPr>
        <w:t xml:space="preserve"> De Gaulle’ün George Pompidou’yu başbakan olarak atamasıyla sonuçlanmıştır. Meclis üyesi olmayan birinin ilk defa başbakan olmasına yönelik hamle, De Gaulle’ün yürütmeyi tamamen kontrolüne aldığını göstermiştir ve bu kontrol, muhalefet tarafından itirazların yükselmesine sebep olmuştur. De Gaulle dönemi, kolonilerin </w:t>
      </w:r>
      <w:r w:rsidRPr="00E97E0B">
        <w:rPr>
          <w:rFonts w:ascii="Times New Roman" w:eastAsia="Calibri" w:hAnsi="Times New Roman" w:cs="Times New Roman"/>
          <w:sz w:val="24"/>
          <w:szCs w:val="24"/>
        </w:rPr>
        <w:lastRenderedPageBreak/>
        <w:t xml:space="preserve">kaybedildiği, Avrupa bütünleşmesine yönelik ilk adımların atıldığı, Fransa’nın müttefiki ABD’ye karşı dış politikasını büyük ölçüde bağımsız hale getirdiği, Fransa’nın nükleer güç haline geldiği, sağ siyasetin güç kazandığı, sıkça referandum yapılan, ekonomik büyümenin arttığı buna mukabil 1968 Mayıs-Haziran olayları da dahil sosyal ve siyasi anlamda önemli olayların gerçekleştiği dönem olarak özetlenebilir. 1968 olayları, artan ekonomik gelirin adil paylaşılmaması ile yeni neslin, üniversite öğrencilerinin ve solun, kişisel yetkilerin fazla olduğu otoriter yönetim anlayışına karşı sosyal patlaması olarak değerlendirilebilir. Ancak, De Gaulle bu duruma karşı yerinden yönetimci bazı anayasa değişiklikleri önererek 1969’da tekrar referandum gerçekleştirmiştir. </w:t>
      </w:r>
      <w:r w:rsidRPr="00E97E0B">
        <w:rPr>
          <w:rFonts w:ascii="Times New Roman" w:eastAsia="Calibri" w:hAnsi="Times New Roman" w:cs="Times New Roman"/>
          <w:i/>
          <w:iCs/>
          <w:sz w:val="24"/>
          <w:szCs w:val="24"/>
        </w:rPr>
        <w:t>Hayır</w:t>
      </w:r>
      <w:r w:rsidRPr="00E97E0B">
        <w:rPr>
          <w:rFonts w:ascii="Times New Roman" w:eastAsia="Calibri" w:hAnsi="Times New Roman" w:cs="Times New Roman"/>
          <w:sz w:val="24"/>
          <w:szCs w:val="24"/>
        </w:rPr>
        <w:t xml:space="preserve"> sonucunun çıkması nedeniyle istifa etmiştir. Dönemin Senato başkanı Alain Poher iki aydan kısa bir süre vekaleten başkanlık yapmıştır.</w:t>
      </w:r>
    </w:p>
    <w:p w14:paraId="7B6F0B5E" w14:textId="49FE8629" w:rsidR="002858AE" w:rsidRPr="00E97E0B" w:rsidRDefault="002858AE" w:rsidP="002B7FA9">
      <w:pPr>
        <w:pStyle w:val="Heading3"/>
      </w:pPr>
      <w:bookmarkStart w:id="114" w:name="_Toc141133088"/>
      <w:r w:rsidRPr="00E97E0B">
        <w:t>3.</w:t>
      </w:r>
      <w:r w:rsidR="002B7FA9" w:rsidRPr="00E97E0B">
        <w:t>3.4.</w:t>
      </w:r>
      <w:r w:rsidRPr="00E97E0B">
        <w:t xml:space="preserve"> De Gaulle’den Günümüze Siyasal Yaşam, Partiler ve Liderler</w:t>
      </w:r>
      <w:bookmarkEnd w:id="114"/>
      <w:r w:rsidRPr="00E97E0B">
        <w:t xml:space="preserve"> </w:t>
      </w:r>
    </w:p>
    <w:p w14:paraId="6E141BA4"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De Gaulle’ün başbakanlığını yapan George Pompidou ve ardından yine onun döneminde finanstan sorumlu Devlet Sekreteri ve Finans ve Ekonomik İşler Bakanı olmuş olan Valérie Giscard d’Estaing’ın sırayla cumhurbaşkanı seçilmeleri De Gaulle’ün Fransız siyasetindeki etkisine iyi birer örnektir. De Gaulle döneminde muhalefette olan François Mitterand da diğer iki cumhurbaşkanından sonra 1981’de solun adayı olarak cumhurbaşkanı olabilmiştir. </w:t>
      </w:r>
    </w:p>
    <w:p w14:paraId="14756495"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Pompidou, seçime De Gaulle’ün çizgisini sürdürme vaadini ve merkezdeki oylara talip olduğunu belirten “Devamlılık içinde değişim” sloganıyla girmiştir. En yakın rakibi olan merkez adayı Alain Poher’in, seçimde sağa yakın bir görünüm vermesi nedeniyle, her iki adayı benzer nitelikte gören komünistlerin ve sosyalistlerin oylarını kaybetmesiyle, Pompidou yarışı ikinci turda %56,7 oy oranıyla kazanmıştır. Pompidou döneminde, “Yeni Toplum” projesi ile başlarda sola da hitap edecek gibi görülen bir program öne sürülmüştür. Ayrıca, televizyonun yaygınlaşmasıyla medyanın artan önemi, imaj çalışmalarını gerekli kılmıştır. Toplumla daha fazla iç içe görünen bir siyasetçi olmanın toplumsal sempatiyi kazanmak için gerektiğini fark edilmiştir. Bu durum, adayları halkla iç </w:t>
      </w:r>
      <w:r w:rsidRPr="00E97E0B">
        <w:rPr>
          <w:rFonts w:ascii="Times New Roman" w:eastAsia="Calibri" w:hAnsi="Times New Roman" w:cs="Times New Roman"/>
          <w:sz w:val="24"/>
          <w:szCs w:val="24"/>
        </w:rPr>
        <w:lastRenderedPageBreak/>
        <w:t>içe olmaya zorlamıştı.</w:t>
      </w:r>
      <w:r w:rsidRPr="00E97E0B">
        <w:rPr>
          <w:rFonts w:ascii="Times New Roman" w:eastAsia="Calibri" w:hAnsi="Times New Roman" w:cs="Times New Roman"/>
          <w:sz w:val="24"/>
          <w:szCs w:val="24"/>
          <w:vertAlign w:val="superscript"/>
        </w:rPr>
        <w:footnoteReference w:id="195"/>
      </w:r>
      <w:r w:rsidRPr="00E97E0B">
        <w:rPr>
          <w:rFonts w:ascii="Times New Roman" w:eastAsia="Calibri" w:hAnsi="Times New Roman" w:cs="Times New Roman"/>
          <w:sz w:val="24"/>
          <w:szCs w:val="24"/>
        </w:rPr>
        <w:t xml:space="preserve"> Öte yandan, asgari ücrete yönelik ve özel şirketlerin ve kamu teşebbüslerinin sendikalar ve işçilerle olan ilişkilerini müzakere ve toplu sözleşmelerle düzenlemeye yönelik adımlar atılmıştır. Bu adımlar, şans eşitliği ilkesini tesis edecek adımlar olarak kamuoyuna duyurulmuştur, fakat 68 olaylarının devamı niteliğindeki sosyal ayaklanmalarla paralel bir sürece denk gelmiştir. Diğer taraftan, sınai atılımların arttığı ve işçi sendikalarıyla işverenlerin arasındaki çıkar çatışmaları sürekli gündemde kalmıştır. Pompidou, sağ ve merkez partilerin desteğini alarak AET’nin genişleme sürecine Birleşik Krallık’ın dahil edilmesi yönünde referanduma gitmiş ve Birleşik Krallık, topluluğa kabul edilmiştir. Pompidou’nun 1974’te görevdeyken hastalanıp hayatını kaybetmesinin ardından dönemin Senato başkanı merkez siyasi çizgide olan Alain Poher, bir ay kadar vekâleten cumhurbaşkanı olarak görev yapmıştır. </w:t>
      </w:r>
    </w:p>
    <w:p w14:paraId="76A0614C"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Ani bir şekilde seçime gidilmesi nedeniyle, o dönemde fraksiyonlara bölünmüş olan solu tekrar bir araya getiren ve Sosyalist Parti’yi kuran François Mitterand, ilk turda %43,25 ile birinci gelmiştir. İlk turda Pompidou’nun başbakanlığını yapmış olan sağ aday Jacques Chaban-Delmas ile Valérie Giscard d’Estaing arasında rekabet olmuş, %32,6 ile ikinci tura kalan d’Estaing, ikinci turda da %50,08 ile cumhurbaşkanı seçilmiştir. Bu dönemde Jacques Chirac da D’Estaing’ı desteklemiş ve onun başbakanı olmuştur. Bu dönemde, sağ bir hükümet tarafından toplumsal taleplerin etkisiyle, seçmen ve cezai ehliyet yaşının 18’e indirilmesi, belli şartlarda kürtaja izin verilmesi, karşılıklı rızaya dayalı boşanma hakkı ve tek tip ortaöğretime geçilmesi gibi reformlar gerçekleştirilmiştir. Ancak, Avrupa bütünleşmesi ve sosyal reformlar konusunda daha istekli ve teknokrat yönetici tarzına sahip olan D’Estaing ile egemenlikçi, devlet müdahalesini savunan ve tabanla yakın ilişki kurarak siyaset yapan başbakanı Chirac’ın arasındaki fikir ve tarz ayrılıkları, Chirac’ın başbakanlıktan istifa etmesine neden olmuştur. Sonrasında, Chirac, Cumhuriyet için Birlik (RPR) Partisi’ni kurup ilk yerel seçimde psikolojik önemi büyük olan Paris belediye başkanlığını kazanarak saygınlığını artırmıştır. Sağ ve merkez sağın bu şekilde ayrışması, Fransız solunu ümitlendirmiş </w:t>
      </w:r>
      <w:r w:rsidRPr="00E97E0B">
        <w:rPr>
          <w:rFonts w:ascii="Times New Roman" w:eastAsia="Calibri" w:hAnsi="Times New Roman" w:cs="Times New Roman"/>
          <w:sz w:val="24"/>
          <w:szCs w:val="24"/>
        </w:rPr>
        <w:lastRenderedPageBreak/>
        <w:t>ve aynı dönemde d’Estaing’ın yerel seçimlerde uğradığı yenilginin ardından, sola, cumhurbaşkanlığını yeniden kazanma umudu vermiştir.</w:t>
      </w:r>
    </w:p>
    <w:p w14:paraId="01C19128"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1981 seçiminin temel vaadi, artan işsizlikle mücadele olmuştur. Sıranın artık sola geldiğini kastetmek için sıklıkla kullanılan </w:t>
      </w:r>
      <w:r w:rsidRPr="00E97E0B">
        <w:rPr>
          <w:rFonts w:ascii="Times New Roman" w:eastAsia="Calibri" w:hAnsi="Times New Roman" w:cs="Times New Roman"/>
          <w:i/>
          <w:iCs/>
          <w:sz w:val="24"/>
          <w:szCs w:val="24"/>
        </w:rPr>
        <w:t>alternance</w:t>
      </w:r>
      <w:r w:rsidRPr="00E97E0B">
        <w:rPr>
          <w:rFonts w:ascii="Times New Roman" w:eastAsia="Calibri" w:hAnsi="Times New Roman" w:cs="Times New Roman"/>
          <w:sz w:val="24"/>
          <w:szCs w:val="24"/>
        </w:rPr>
        <w:t xml:space="preserve"> kelimesi bu değişim sürecini ifade etmek için bir slogan olarak tercih edilmiştir. Bir tarafta Merkez sağın adayı d’Estaing, Chirac’a karşı sağ oyları kazanmak için mücadele ederken, diğer taraftan Komünist Parti adayı George Marchais, Sosyalist Parti’nin adayı François Mitterand’a karşı sol oyları kazanma yarışına girmiştir. 1981 seçimlerinde, sağın yarattığı komünizm tehlikesi algısının etkisiyle, komünistler %15,3 ile 1936’dan beri en düşük oranda oyu almışlardır. Sosyalist Parti adayı Mitterand ile görev süresi dolan D’Estaing arasında yapılan 2. turda, Chirac, D’Estaing’ı; Marchais, Mitterand’ı desteklemiş ve ikinci turu sosyalist aday %51,7 ile kazanmıştır. İktidarının ilk günlerinde vadettiği gibi Ulusal Meclis’i feshetmiş ve seçime giderek bir sonraki 1986 yasama seçimlerine kadar beklediği gibi Sosyalist Parti çoğunluklu bir Meclis dağılımını yakalamıştır. Seçim galibiyetinin getirdiği olumlu hava, ekonomik sorunlar karşısında hükümete bir süre güvenin devam etmesini sağlamıştır. Ayrıca, bu durum şirketlerin millileştirilmesi ve yerinden yönetimin güçlendirilmesini sağlayacak kurumlar oluşturma (ki bu konuda genel kanı olumluydu), çalışma hukukuna dair işçi hak ve özgürlüklerini genişleten değişiklikler (39 saat yasası ve emeklilik yaşının 60’a indirilmesi), ölüm cezasının kaldırılması, yerel seçimlerde tek turlu nisbi temsiliyet modeline geçilmesi ve medyada devlet tekelinin yasal zeminde sonlandırılması gibi önemli ve geniş kitlelerce olumlu karşılanan siyasi reformların yapılmasını mümkün kılmıştır. Tüm bu reformlara karşın, işsizlik, enflasyon ve bütçe açığına neden olan ekonomi icraatları genel bir memnuniyetsizlik yaratmıştır. Öte yandan, tepkiler üzerine, öğretmen kadrosunu kamu görevlisi gibi merkezi sistem ve mevzuatla belirleyecek şekilde değiştirmeyi kapsayan özel okulların statüsünü değiştirme adımından vazgeçilmiştir. </w:t>
      </w:r>
      <w:r w:rsidRPr="00E97E0B">
        <w:rPr>
          <w:rFonts w:ascii="Times New Roman" w:eastAsia="Calibri" w:hAnsi="Times New Roman" w:cs="Times New Roman"/>
          <w:sz w:val="24"/>
          <w:szCs w:val="24"/>
          <w:vertAlign w:val="superscript"/>
        </w:rPr>
        <w:footnoteReference w:id="196"/>
      </w:r>
    </w:p>
    <w:p w14:paraId="79EA5869"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1986 yılında, sağ partilerin Meclis seçimleri sonucunda çoğunluğu elde etmesiyle Chirac’ın başbakan olması, ilk </w:t>
      </w:r>
      <w:r w:rsidRPr="00E97E0B">
        <w:rPr>
          <w:rFonts w:ascii="Times New Roman" w:eastAsia="Calibri" w:hAnsi="Times New Roman" w:cs="Times New Roman"/>
          <w:i/>
          <w:iCs/>
          <w:sz w:val="24"/>
          <w:szCs w:val="24"/>
        </w:rPr>
        <w:t>cohabitation</w:t>
      </w:r>
      <w:r w:rsidRPr="00E97E0B">
        <w:rPr>
          <w:rFonts w:ascii="Times New Roman" w:eastAsia="Calibri" w:hAnsi="Times New Roman" w:cs="Times New Roman"/>
          <w:sz w:val="24"/>
          <w:szCs w:val="24"/>
        </w:rPr>
        <w:t xml:space="preserve"> dönemini başlatmıştır. Nisbi temsil sisteminin bir diğer sonucu, FN’nin ilk defa Meclis’e %9,8’lik bir oy </w:t>
      </w:r>
      <w:r w:rsidRPr="00E97E0B">
        <w:rPr>
          <w:rFonts w:ascii="Times New Roman" w:eastAsia="Calibri" w:hAnsi="Times New Roman" w:cs="Times New Roman"/>
          <w:sz w:val="24"/>
          <w:szCs w:val="24"/>
        </w:rPr>
        <w:lastRenderedPageBreak/>
        <w:t xml:space="preserve">oranıyla girebilmesi olmuştur.  Chirac’ın başbakanlığı döneminde çeşitli sanayi kuruluşlarının özelleştirmesi gerçekleşmiştir. 1988’de başbakan Chirac’la girdiği cumhurbaşkanlığı yarışını kazanan Mitterand ikinci kez cumhurbaşkanı olmuştur ve yeniden Meclis’i lağvetmiştir. 1988’de yapılan yeni seçimde Mitterand nisbi çoğunluğu kazanmıştır. Bu dönemde dört başbakan değişikliği yapılmış, bunlardan sonuncusu 1993’teki Meclis seçimleri sonucunda Mitterand’ın çoğunluğu kaybetmesi ve tekrar </w:t>
      </w:r>
      <w:r w:rsidRPr="00E97E0B">
        <w:rPr>
          <w:rFonts w:ascii="Times New Roman" w:eastAsia="Calibri" w:hAnsi="Times New Roman" w:cs="Times New Roman"/>
          <w:i/>
          <w:iCs/>
          <w:sz w:val="24"/>
          <w:szCs w:val="24"/>
        </w:rPr>
        <w:t>cohabitation</w:t>
      </w:r>
      <w:r w:rsidRPr="00E97E0B">
        <w:rPr>
          <w:rFonts w:ascii="Times New Roman" w:eastAsia="Calibri" w:hAnsi="Times New Roman" w:cs="Times New Roman"/>
          <w:sz w:val="24"/>
          <w:szCs w:val="24"/>
        </w:rPr>
        <w:t xml:space="preserve"> yapmak mecburiyetinde kalması nedeniyle olmuştur. Bu dönemde asgari geçim desteği yasallaşmış, fakat gündem olan yolsuzluklar ve siyasi parti finansmanıyla ilgili tartışma ve uygulamalar, siyasetçilere olan güvenin azalmasına neden olmuştur. Bununla paralel olarak, siyasilerin finansman ihtiyacına bağlı olmaları, yolsuzluk yapıldığı ortaya çıkan siyasetçilerin görünür olması, siyasetçilerin benzer eğitim düzeyi ve çevrelerinin benzerliğinin farklı görüşlere rağmen daha fazla ortaklaşacağı düşünceleri gibi faktörler, 1990’ların başında vatandaşların sol ve sağ siyasetçiler arasında fark görememesine neden olmuştur. Mitterand, Afrika’daki eski kolonilerle ilgili gaullist egemenlikçi politikaları sürdürmekle birlikte, AB’nin temellerini atan parasal birliğin sağlanması ve Maastricht anlaşması başta olmak üzere pek çok konuda AB’nin oluşumunda rol almıştır. </w:t>
      </w:r>
      <w:r w:rsidRPr="00E97E0B">
        <w:rPr>
          <w:rFonts w:ascii="Times New Roman" w:eastAsia="Calibri" w:hAnsi="Times New Roman" w:cs="Times New Roman"/>
          <w:sz w:val="24"/>
          <w:szCs w:val="24"/>
          <w:vertAlign w:val="superscript"/>
        </w:rPr>
        <w:footnoteReference w:id="197"/>
      </w:r>
    </w:p>
    <w:p w14:paraId="2E4EACC8" w14:textId="3BFA28A5"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1995 cumhurbaşkanlığı seçimlerinde ise Sosyalist Parti adayı Lionel Jospin birinci turda birinci olduğu halde, ikinci turu, </w:t>
      </w:r>
      <w:r w:rsidR="00C84DEE" w:rsidRPr="00E97E0B">
        <w:rPr>
          <w:rFonts w:ascii="Times New Roman" w:eastAsia="Calibri" w:hAnsi="Times New Roman" w:cs="Times New Roman"/>
          <w:sz w:val="24"/>
          <w:szCs w:val="24"/>
        </w:rPr>
        <w:t>G</w:t>
      </w:r>
      <w:r w:rsidRPr="00E97E0B">
        <w:rPr>
          <w:rFonts w:ascii="Times New Roman" w:eastAsia="Calibri" w:hAnsi="Times New Roman" w:cs="Times New Roman"/>
          <w:sz w:val="24"/>
          <w:szCs w:val="24"/>
        </w:rPr>
        <w:t>aullist parti RPR’nin adayı Jacques Chirac %52,6 oy oranıyla kazanmıştır. Görevi süresince zorunlu askerlik hizmeti, Avro’ya geçiş, haftalık azami çalışma süresinin 35 saate çıkarılması ve eşcinselleri kapsayan, fakat evlilik kadar katı olmayan Medeni Dayanışma Sözleşmesi’nin kabulü gibi reformların yanı sıra tartışmalı nükleer denemeler ve Paris Belediye Başkanlığı sırasında partisi RPR’nin finansmanıyla ilgili usulsüzlük iddiasıyla kendisine soruşturma açılmıştır. Cumhurbaşkanlığı görev süresini 5 yıla indiren anayasa teklifi referanduma gitmiş ve 2000 yılında kabul edilmiştir.</w:t>
      </w:r>
      <w:r w:rsidRPr="00E97E0B">
        <w:rPr>
          <w:rFonts w:ascii="Times New Roman" w:eastAsia="Calibri" w:hAnsi="Times New Roman" w:cs="Times New Roman"/>
          <w:sz w:val="24"/>
          <w:szCs w:val="24"/>
          <w:vertAlign w:val="superscript"/>
        </w:rPr>
        <w:footnoteReference w:id="198"/>
      </w:r>
      <w:r w:rsidRPr="00E97E0B">
        <w:rPr>
          <w:rFonts w:ascii="Times New Roman" w:eastAsia="Calibri" w:hAnsi="Times New Roman" w:cs="Times New Roman"/>
          <w:sz w:val="24"/>
          <w:szCs w:val="24"/>
        </w:rPr>
        <w:t xml:space="preserve"> Bu yıldan itibaren cumhurbaşkanlığı ve yasama seçimleri iki ay arayla yapılagelmiştir. Bu değişiklik, hem cumhurbaşkanının görev süresinin kısaltılarak hem de cumhurbaşkanı Meclis’le neredeyse aynı zamanda değiştiğinden, seçmene karşı </w:t>
      </w:r>
      <w:r w:rsidRPr="00E97E0B">
        <w:rPr>
          <w:rFonts w:ascii="Times New Roman" w:eastAsia="Calibri" w:hAnsi="Times New Roman" w:cs="Times New Roman"/>
          <w:sz w:val="24"/>
          <w:szCs w:val="24"/>
        </w:rPr>
        <w:lastRenderedPageBreak/>
        <w:t xml:space="preserve">siyasi sorumluluğun artmasına ve </w:t>
      </w:r>
      <w:r w:rsidRPr="00E97E0B">
        <w:rPr>
          <w:rFonts w:ascii="Times New Roman" w:eastAsia="Calibri" w:hAnsi="Times New Roman" w:cs="Times New Roman"/>
          <w:i/>
          <w:iCs/>
          <w:sz w:val="24"/>
          <w:szCs w:val="24"/>
        </w:rPr>
        <w:t>cohabitation</w:t>
      </w:r>
      <w:r w:rsidRPr="00E97E0B">
        <w:rPr>
          <w:rFonts w:ascii="Times New Roman" w:eastAsia="Calibri" w:hAnsi="Times New Roman" w:cs="Times New Roman"/>
          <w:sz w:val="24"/>
          <w:szCs w:val="24"/>
        </w:rPr>
        <w:t xml:space="preserve"> ihtimalini azaltmaya yaramaktadır. Chirac bu değişikliğin ardından, 2002 yılında, ikinci turda %82,21 ile tekrardan, fakat bu kez beş yıllığına cumhurbaşkanı seçilmiştir. İkinci görev döneminde ABD’nin Irak işgaline karşı çıkarak ABD ile ilişkilerin gerilmesine ve aynı zamanda uluslararası alanda Fransa’nın itibar kazanmasını sağlamıştır. Aynı zamanda, emeklilik reformu olarak bilinen ve prim gün sayısını artıran yasayı çıkarmıştır. Bu kadar büyük bir oranı elde etmesinin nedeni ise Sosyalist Parti adayı Lionel Jospin’ın ilk turda FN adayı Jean-Marie Lepen’den daha az oy olarak ikinci tura kalamaması ve Fransa’da sağ ve sol grupların tamamına yakınının Lepen karşısında Chirac’a oy vermesidir. Bu aynı zamanda aşırı sağa karşı geriye kalan toplumsal grupların, 2000’li yılların başında daha belirgin bir şekilde saf tuttuğunu göstermektedir. Bu durum, aşırı sağın adayının iki defa arka arkaya ikinci tura kaldığı 2017 ve 2022 başkanlık seçimlerinde değişme eğilimine girmiştir. 2012-2017 döneminin cumhurbaşkanı olan François Hollande’ın eski eşi ve cumhurbaşkanı adayı Ségolène Royal ile ikinci turda yarışacak ve bir sonraki dönemin cumhurbaşkanı olacak olan Nicolas Sarkozy o dönemin İçişleri Bakanı olarak görev yapmıştır.</w:t>
      </w:r>
    </w:p>
    <w:p w14:paraId="1B475025" w14:textId="77777777" w:rsidR="002858AE" w:rsidRPr="00E97E0B" w:rsidRDefault="002858AE" w:rsidP="002858AE">
      <w:pPr>
        <w:tabs>
          <w:tab w:val="left" w:pos="142"/>
          <w:tab w:val="left" w:pos="7513"/>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2002’de UMP (Halk Hareketi için Birlik Partisi), Chirac’ın da dahil olduğu RPR’nin başkaca oluşumlarla birleşerek oluşturduğu parti olarak kurulmuştur. 2007’de cumhurbaşkanı olan Nicolas Sarkozy de UMP’nin adayıydı. Chirac’ın sağ geleneğini büyük oranda sürdüren Sarkozy, görev süresi boyunca emeklilik yaşının yükseltilmesi, öğretmenlerin ders saatlerini azaltan eğitim reformu, işsizlere Etkin Dayanışma Geliri (RSA) garantisi ve çalışma vergisinin kaldırılması gibi reformların yanı sıra suçu önlemeye yönelik cezaları artıran, kaçak göçü önlemeye ve iç güvenliğe yönelik yasalar çıkartmıştır. Uluslararası alanda ise özellikle Amerika ile ilişkileri olumlu etkileyecek uluslararası teşebbüslerde bulunmuştur. 2008 krizi sırasında Avrupa Birliği içinde ekonomik kurtarma paketlerini desteklemiştir. Şirketlerin vergi yükünü hafifleten ve çalışma koşullarını sıkılaştıran, ekonomik büyümeye yönelik sağ politikalar uygulamıştır. Tüm bunlarla büyük ölçüde uyumlu olacak şekilde, göreve gelmeden önce kampanya sürecinde en sık kullandığı sloganlar; Birlikte Her Şey Mümkün” (Ensemble Tout </w:t>
      </w:r>
      <w:r w:rsidRPr="00E97E0B">
        <w:rPr>
          <w:rFonts w:ascii="Times New Roman" w:eastAsia="Calibri" w:hAnsi="Times New Roman" w:cs="Times New Roman"/>
          <w:sz w:val="24"/>
          <w:szCs w:val="24"/>
        </w:rPr>
        <w:lastRenderedPageBreak/>
        <w:t>Devient Possible), “Sakin Kopuş” (Rupture Tranquille), “Daha Fazla Kazanmak İçin Daha Fazla Çalışmak” (Travailler Plus Pour Gagner Plus) olmuştur.</w:t>
      </w:r>
      <w:r w:rsidRPr="00E97E0B">
        <w:rPr>
          <w:rFonts w:ascii="Times New Roman" w:eastAsia="Calibri" w:hAnsi="Times New Roman" w:cs="Times New Roman"/>
          <w:sz w:val="24"/>
          <w:szCs w:val="24"/>
          <w:vertAlign w:val="superscript"/>
        </w:rPr>
        <w:footnoteReference w:id="199"/>
      </w:r>
      <w:r w:rsidRPr="00E97E0B">
        <w:rPr>
          <w:rFonts w:ascii="Times New Roman" w:eastAsia="Calibri" w:hAnsi="Times New Roman" w:cs="Times New Roman"/>
          <w:sz w:val="24"/>
          <w:szCs w:val="24"/>
        </w:rPr>
        <w:t xml:space="preserve"> </w:t>
      </w:r>
    </w:p>
    <w:p w14:paraId="19DA6CF7" w14:textId="2A105F4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Fransa bu dönemde de daha sonra da olacağı gibi parti çeşitlenmesinin görüldüğü ve siyasi hizipleşmenin çok olduğu bir ülke olmuştur. Bu nedenle, parti kurumsallaşması ve bir partinin aynı ismi on yıllar boyunca taşıması belli başlı partiler dışında çok rastlanmayan bir durumdur. Sosyalist Parti ve Fransız Komünist Partisi 5. Cumhuriyet’te uzun ömürlü partiler arasındadır. Diğer taraftan, Cumhuriyetçiler (Les Républicains) de pek çok farklı isim almış merkez sağ, sağ ve </w:t>
      </w:r>
      <w:r w:rsidR="00C84DEE" w:rsidRPr="00E97E0B">
        <w:rPr>
          <w:rFonts w:ascii="Times New Roman" w:eastAsia="Calibri" w:hAnsi="Times New Roman" w:cs="Times New Roman"/>
          <w:sz w:val="24"/>
          <w:szCs w:val="24"/>
        </w:rPr>
        <w:t>G</w:t>
      </w:r>
      <w:r w:rsidRPr="00E97E0B">
        <w:rPr>
          <w:rFonts w:ascii="Times New Roman" w:eastAsia="Calibri" w:hAnsi="Times New Roman" w:cs="Times New Roman"/>
          <w:sz w:val="24"/>
          <w:szCs w:val="24"/>
        </w:rPr>
        <w:t xml:space="preserve">aullist eğilimlerin bir araya geldiği bir partidir. Diğer Ulusal Cephe, kimlik siyasetinin ağır bastığı ve çoğunlukla aşırı sağ olarak konumlandırılan bir parti olarak 1972’de siyaset yaşamına girmiş, ancak kurucusu FN adayı Jean-Marie Lepen’in 2002 başkanlık seçimlerinde Jacques Chirac’ın karşısında ikinci tura kalmaya başladığı 2000’li yıllardan itibaren önemli bir siyasi desteği devam ettirmiştir. </w:t>
      </w:r>
    </w:p>
    <w:p w14:paraId="6B930B2E"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2011 yılında Jean-Marie Lepen’in yerine partinin başına kızı Marine Lepen geçmiş ve 2018 yılında partinin adını Ulusal Birlik (RN) olarak değiştirilmiştir. RN’nin temsil ettiği bu akım, göçmen karşıtlığı, milliyetçiliği, egemenlikçiliği ve kültürcü siyaset anlayışıyla bilinmektedir. Bu siyasi hareket, son yirmi yıldır üç partili siyasi sistem olup olmadığına dair tartışmalara neden olacak denli önem kazanmıştır.</w:t>
      </w:r>
      <w:r w:rsidRPr="00E97E0B">
        <w:rPr>
          <w:rFonts w:ascii="Times New Roman" w:eastAsia="Calibri" w:hAnsi="Times New Roman" w:cs="Times New Roman"/>
          <w:sz w:val="24"/>
          <w:szCs w:val="24"/>
          <w:vertAlign w:val="superscript"/>
        </w:rPr>
        <w:footnoteReference w:id="200"/>
      </w:r>
      <w:r w:rsidRPr="00E97E0B">
        <w:rPr>
          <w:rFonts w:ascii="Times New Roman" w:eastAsia="Calibri" w:hAnsi="Times New Roman" w:cs="Times New Roman"/>
          <w:sz w:val="24"/>
          <w:szCs w:val="24"/>
        </w:rPr>
        <w:t xml:space="preserve"> Esasında, sağ-dualizmine alternatif üç partili sistemin önceden de olduğu düşüncesi Fransa’da tartışılmakla birlikte üçüncü akımın özellikle 2007’den beri aşırı sağ olduğu anlaşılmaktadır.</w:t>
      </w:r>
      <w:r w:rsidRPr="00E97E0B">
        <w:rPr>
          <w:rFonts w:ascii="Times New Roman" w:eastAsia="Calibri" w:hAnsi="Times New Roman" w:cs="Times New Roman"/>
          <w:sz w:val="24"/>
          <w:szCs w:val="24"/>
          <w:vertAlign w:val="superscript"/>
        </w:rPr>
        <w:footnoteReference w:id="201"/>
      </w:r>
      <w:r w:rsidRPr="00E97E0B">
        <w:rPr>
          <w:rFonts w:ascii="Times New Roman" w:eastAsia="Calibri" w:hAnsi="Times New Roman" w:cs="Times New Roman"/>
          <w:sz w:val="24"/>
          <w:szCs w:val="24"/>
        </w:rPr>
        <w:t xml:space="preserve"> Ancak geleneksel olarak, sınıf ve din eksenli sağ-sol ikilliğine alternatif tartışmaların bu partilerde gerçekleşmesi ve kurumsal düzeyde bu denli belirgin bir ayrışmayı beraberinde getirmediğini söylemek mümkündür. Zira aşırı sağı belirgin bir biçimde temsil eden RN etkisini artırmaktadır. 2017 ve 2022 seçimlerinin her ikisinde de RN adayı Marine Lepen, sağın adayı ve Cumhurbaşkanı Emanuel Macron karşısında ikinci tura kalabilmiştir. Görüldüğü üzere, Fransa’da, Türkiye’dekine benzer bir şekilde </w:t>
      </w:r>
      <w:r w:rsidRPr="00E97E0B">
        <w:rPr>
          <w:rFonts w:ascii="Times New Roman" w:eastAsia="Calibri" w:hAnsi="Times New Roman" w:cs="Times New Roman"/>
          <w:sz w:val="24"/>
          <w:szCs w:val="24"/>
        </w:rPr>
        <w:lastRenderedPageBreak/>
        <w:t>partiler zaman zaman isim değiştirmektedir, ancak sağ siyasetin en başat partileri sık sık isim değişiklikleri yaparak günümüze gelmişlerdir. Bununla birlikte, PS ise, Mitterand’dan beri isim değiştirmeden kalmış bir siyasi parti olarak, özellikle Soğuk Savaş sonrası neoliberalizmin güçlenmesi ve sosyal sınıfların belirsizleşmesi, AB ile bütünleşme ve finansman ihtiyaçları gibi yapısal sebeplerle marksist kimliğinden sıyrılarak sosyal-demokrat bir çizgiye yönelmiştir.</w:t>
      </w:r>
      <w:r w:rsidRPr="00E97E0B">
        <w:rPr>
          <w:rFonts w:ascii="Times New Roman" w:eastAsia="Calibri" w:hAnsi="Times New Roman" w:cs="Times New Roman"/>
          <w:sz w:val="24"/>
          <w:szCs w:val="24"/>
          <w:vertAlign w:val="superscript"/>
        </w:rPr>
        <w:footnoteReference w:id="202"/>
      </w:r>
      <w:r w:rsidRPr="00E97E0B">
        <w:rPr>
          <w:rFonts w:ascii="Times New Roman" w:eastAsia="Calibri" w:hAnsi="Times New Roman" w:cs="Times New Roman"/>
          <w:sz w:val="24"/>
          <w:szCs w:val="24"/>
        </w:rPr>
        <w:t xml:space="preserve"> Sarkozy’nin cumhurbaşkanı olduğu dönemde siyasi sistemde en baskın iki rakip UMP ve PS’dir. UMP, çiftçi, esnaf, tüccar, şirket sahipleri ve çalışanlarının desteğini daha fazla bir oranda almakla birlikte PS, ara meslek grupları ve onların faaliyet alanlarının üyelerinden daha fazla destek almaktadır. Aynı zamanda, dindar kesimler UMP’yi daha fazla desteklerken kendisini böyle tanımlamayanların PS’ye oy verme eğiliminin arttığı söylenebilir.</w:t>
      </w:r>
      <w:r w:rsidRPr="00E97E0B">
        <w:rPr>
          <w:rFonts w:ascii="Times New Roman" w:eastAsia="Calibri" w:hAnsi="Times New Roman" w:cs="Times New Roman"/>
          <w:sz w:val="24"/>
          <w:szCs w:val="24"/>
          <w:vertAlign w:val="superscript"/>
        </w:rPr>
        <w:footnoteReference w:id="203"/>
      </w:r>
      <w:r w:rsidRPr="00E97E0B">
        <w:rPr>
          <w:rFonts w:ascii="Times New Roman" w:eastAsia="Calibri" w:hAnsi="Times New Roman" w:cs="Times New Roman"/>
          <w:sz w:val="24"/>
          <w:szCs w:val="24"/>
        </w:rPr>
        <w:t xml:space="preserve"> Siyasi partiler arasında baskın eğilimleri temsil eden ve büyük oranda oy alan partiler olduğu gibi daha küçük oranda oy alan partilerin de olması, iki turlu seçim ve başkanlık sisteminin etkisiyle seçimlerde benzer partiler arasındaki geçici ittifak arayışlarını kolaylaştırmaktadır. Ayrıca bu durum benzer eğilimlere sahip partiler içinde yeni oluşumların ve liderlik yarışlarını da teşvik etmektedir. Diğer bir durum ise sistem karşıtı partilerin de siyaset içinde yer bulmasına ve sert söylemler üreterek süreç içinde birbirine benzeyen partilerin benzerliğinden duyulan rahatsızlığı ve küreselleşme, göç, işsizlik ve AB genişlemesi konularındaki genel memnuniyetsizliğin oylarını artırmalarına yaramasıdır.</w:t>
      </w:r>
      <w:r w:rsidRPr="00E97E0B">
        <w:rPr>
          <w:rFonts w:ascii="Times New Roman" w:eastAsia="Calibri" w:hAnsi="Times New Roman" w:cs="Times New Roman"/>
          <w:sz w:val="24"/>
          <w:szCs w:val="24"/>
          <w:vertAlign w:val="superscript"/>
        </w:rPr>
        <w:footnoteReference w:id="204"/>
      </w:r>
      <w:r w:rsidRPr="00E97E0B">
        <w:rPr>
          <w:rFonts w:ascii="Times New Roman" w:eastAsia="Calibri" w:hAnsi="Times New Roman" w:cs="Times New Roman"/>
          <w:sz w:val="24"/>
          <w:szCs w:val="24"/>
        </w:rPr>
        <w:t xml:space="preserve"> Aşırı sağ ve aşırı sol partilerin ara ara yükselip adaylarını başkanlık seçiminde ikinci tura taşımaları da bunun bir sonucu olarak kendisini göstermektedir. </w:t>
      </w:r>
    </w:p>
    <w:p w14:paraId="0320E08C" w14:textId="77777777" w:rsidR="002858AE" w:rsidRPr="00E97E0B" w:rsidRDefault="002858AE" w:rsidP="002858AE">
      <w:pPr>
        <w:tabs>
          <w:tab w:val="left" w:pos="142"/>
        </w:tabs>
        <w:spacing w:before="120" w:after="120" w:line="360" w:lineRule="auto"/>
        <w:ind w:right="4"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Fransa siyasal hayatında en temel ayrışma noktaları ele alındığında, kimlik temelinde dini ve sınıfsal olarak sağ veya sol olmak, Avrupa Birliği ve Amerika’yla ilişkiler konusunda egemenlikçi veya küresel eğilimli olmak, çevre konusunda yeşil hassasiyetleri önceliyor veya önemsiz görüyor olmak, göçmenlerle ilgili konularda göçmen karşıtlığı veya farklı kültürlere açık olmak gibi temel ayrışma noktalarından bahsetmek mümkündür. </w:t>
      </w:r>
    </w:p>
    <w:p w14:paraId="1F52FFA7" w14:textId="39519F94" w:rsidR="002858AE" w:rsidRPr="00E97E0B" w:rsidRDefault="002858AE" w:rsidP="002B7FA9">
      <w:pPr>
        <w:pStyle w:val="Heading2"/>
      </w:pPr>
      <w:bookmarkStart w:id="117" w:name="_Toc141133089"/>
      <w:r w:rsidRPr="00E97E0B">
        <w:lastRenderedPageBreak/>
        <w:t>3.</w:t>
      </w:r>
      <w:r w:rsidR="002B7FA9" w:rsidRPr="00E97E0B">
        <w:t>4.</w:t>
      </w:r>
      <w:r w:rsidRPr="00E97E0B">
        <w:t xml:space="preserve"> Türkiye’nin Siyasi Sistemin Tarihi, Yapısı ve Özellikleri</w:t>
      </w:r>
      <w:bookmarkEnd w:id="117"/>
    </w:p>
    <w:p w14:paraId="4E266444" w14:textId="73436274" w:rsidR="002858AE" w:rsidRPr="00E97E0B" w:rsidRDefault="002858AE" w:rsidP="002B7FA9">
      <w:pPr>
        <w:pStyle w:val="Heading3"/>
      </w:pPr>
      <w:bookmarkStart w:id="118" w:name="_Toc141133090"/>
      <w:r w:rsidRPr="00E97E0B">
        <w:t>3.</w:t>
      </w:r>
      <w:r w:rsidR="002B7FA9" w:rsidRPr="00E97E0B">
        <w:t>4.</w:t>
      </w:r>
      <w:r w:rsidR="00E93FD2" w:rsidRPr="00E97E0B">
        <w:t>1</w:t>
      </w:r>
      <w:r w:rsidRPr="00E97E0B">
        <w:t>. Dünya Savaşı Öncesi Süreç</w:t>
      </w:r>
      <w:bookmarkEnd w:id="118"/>
    </w:p>
    <w:p w14:paraId="31E150D5"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Osmanlı Devleti, 19. Yüzyılda merkeziyetçi bir mutlak monarşi ile yönetilmekteydi. 1808 yılında gerçekleşen Sened-i İttifak, Sultan II. Mahmud ve toprak sahipleri arasında yapılan ve aralarındaki güç dengesinin yerel yöneticilerin lehine bir anlaşmadır. Buna göre, hükümdar ile yerel yöneticiler arasında anlaşılarak yerel yöneticilere siyasi olarak daha fazla yetki ve güvence verilmiştir. Bu âdemimerkeziyetçilik yönünde ilk somut gelişmelerden biri olmuştur. Sanayi Devrimi ve İngiltere, Fransa gibi ülkelerin hem ekonomik hem askeri alanlardaki yükselişi, Osmanlı Devleti’nin yapısında değişiklik gerekliliği ve baskısı oluşturmuştur. 1838 Tanzimat Fermanı ve 1856 Islahat Fermanı’yla, hukukun üstünlüğü, vatandaşlık düzeyinde eşitlik gibi modern devlet yapısının gereği olan ilkeler iç ve dış baskılar sonucu beyan edilmişken, merkezileşmeye dönüş amacını da taşımaktaydı. Ayrıca, sivil bürokratik hegemonya da bu dönemde güçlenmiştir.</w:t>
      </w:r>
      <w:r w:rsidRPr="00E97E0B">
        <w:rPr>
          <w:rFonts w:ascii="Times New Roman" w:eastAsia="Calibri" w:hAnsi="Times New Roman" w:cs="Times New Roman"/>
          <w:sz w:val="24"/>
          <w:szCs w:val="24"/>
          <w:vertAlign w:val="superscript"/>
        </w:rPr>
        <w:footnoteReference w:id="205"/>
      </w:r>
      <w:r w:rsidRPr="00E97E0B">
        <w:rPr>
          <w:rFonts w:ascii="Times New Roman" w:eastAsia="Calibri" w:hAnsi="Times New Roman" w:cs="Times New Roman"/>
          <w:sz w:val="24"/>
          <w:szCs w:val="24"/>
        </w:rPr>
        <w:t xml:space="preserve"> 1876’da II. Abdulhamit’in tahta çıkabilmek için ilan ettiği Meşrutiyet ve beraberindeki ilk anayasa olan Kanun-i Esasi, padişahın yetkilerini sınırlamış ve alt meclis Meclis-i Mebusan ve üst meclis Meclis-i Ayan olarak iki kamaralı bir meclis sistemini de faaliyete geçirmişti. Bu anayasa 1878’de askıya alınarak, 1908’e kadar tamamen yürürlükten kalkmıştır. 1908’deki II. Meşrutiyet döneminde ise I. Meşrutiyet’tekinden farklı olarak, kabine sistemi gelmiş, parlamentonun denetleme ve yasama gücünün genişletilmesi ve padişahın yetkilerinin sınırlandırılması söz konusu olmuştur.</w:t>
      </w:r>
      <w:r w:rsidRPr="00E97E0B">
        <w:rPr>
          <w:rFonts w:ascii="Times New Roman" w:eastAsia="Calibri" w:hAnsi="Times New Roman" w:cs="Times New Roman"/>
          <w:sz w:val="24"/>
          <w:szCs w:val="24"/>
          <w:vertAlign w:val="superscript"/>
        </w:rPr>
        <w:footnoteReference w:id="206"/>
      </w:r>
      <w:r w:rsidRPr="00E97E0B">
        <w:rPr>
          <w:rFonts w:ascii="Times New Roman" w:eastAsia="Calibri" w:hAnsi="Times New Roman" w:cs="Times New Roman"/>
          <w:sz w:val="24"/>
          <w:szCs w:val="24"/>
        </w:rPr>
        <w:t xml:space="preserve"> Bu dönemde farklı ulusların ulusçuluklarının yanında özellikle öne çıkan Türkçülük, İslamcılık, Batıcılık, Osmanlıcılık ve Sosyalizm gibi İmparatorluğun kurtuluşuna yönelik çeşitli çareler, Osmanlı elitleri tarafından düşünülmüş ya da benimsenmiştir. İttihat ve Terakki Cemiyeti, II. Meşrutiyet’in kurulmasına öncülük etmiş ve 1908’den sonra I. Dünya Savaşı sonunda dağılana kadar iktidarda kalmıştır. 1920’de İstanbul’un işgal edilmesiyle işgal güçleri tarafından Meclis-i Mebusan dağıtılmıştır.</w:t>
      </w:r>
    </w:p>
    <w:p w14:paraId="2BE6C3D6" w14:textId="561D9D7D" w:rsidR="002858AE" w:rsidRPr="00E97E0B" w:rsidRDefault="00E93FD2" w:rsidP="002B7FA9">
      <w:pPr>
        <w:pStyle w:val="Heading3"/>
      </w:pPr>
      <w:bookmarkStart w:id="119" w:name="_Toc141133091"/>
      <w:r w:rsidRPr="00E97E0B">
        <w:lastRenderedPageBreak/>
        <w:t>3.</w:t>
      </w:r>
      <w:r w:rsidR="002B7FA9" w:rsidRPr="00E97E0B">
        <w:t>4.</w:t>
      </w:r>
      <w:r w:rsidRPr="00E97E0B">
        <w:t xml:space="preserve">2. </w:t>
      </w:r>
      <w:r w:rsidR="002858AE" w:rsidRPr="00E97E0B">
        <w:t>Cumhuriyetin Kuruluşu</w:t>
      </w:r>
      <w:bookmarkEnd w:id="119"/>
    </w:p>
    <w:p w14:paraId="4EF3B505"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1920’de Ankara’da Mustafa Kemal Paşa liderliğinde İstanbul’un işgal altında da olması nedeniyle, Büyük Millet Meclisi adıyla Meclis tekrar açılmıştır. 1921’de, Teşkilat-ı Esasi adıyla ilk ulusal bir meclisin anayasası Kanun-i Esasiye ilaveten kabul edilmiştir. Bu anayasa ve öngördüğü Meclis, Kurtuluş Savaşı’nda da görevini sürdürmüştür. Bu bir “meclis hükümeti” sistemi olarak işlemiş, meclis yasama ve yürütmeyi kendi uhdesinde birleştirmiş ve dini ve siyasi yetkileri ayırmıştır. Bu anayasa, kurtuluş mücadelesinin sürdürüldüğü olağanüstü bir dönemin anayasası olmuştur. 1922’de saltanat ve 1924’te hilafet yetkileri meclise devredilmek suretiyle kaldırılarak, sonrasında kurulacak sistemin ortamı hazırlanmıştı. Bundan sonraki süreçte laik bir ulus devlet inşası başlamıştır.</w:t>
      </w:r>
    </w:p>
    <w:p w14:paraId="76745735" w14:textId="4BD68441"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Mustafa Kemal Paşa yönetimindeki Kurtuluş Savaşı’nın kazanılmasını takip eden süreçte, 1923’te Cumhuriyet ilan edilmiştir. 1924’te, Cumhuriyet’in yeni anayasası kabul edilmiştir. 1924 Anayasası merkeziyetçiliği yeniden tesis eden ve kendinden önceki iki anayasayı yürürlükten kaldıran niteliktedir.</w:t>
      </w:r>
      <w:r w:rsidRPr="00E97E0B">
        <w:rPr>
          <w:rFonts w:ascii="Times New Roman" w:eastAsia="Calibri" w:hAnsi="Times New Roman" w:cs="Times New Roman"/>
          <w:sz w:val="24"/>
          <w:szCs w:val="24"/>
          <w:vertAlign w:val="superscript"/>
        </w:rPr>
        <w:footnoteReference w:id="207"/>
      </w:r>
      <w:r w:rsidRPr="00E97E0B">
        <w:rPr>
          <w:rFonts w:ascii="Times New Roman" w:eastAsia="Calibri" w:hAnsi="Times New Roman" w:cs="Times New Roman"/>
          <w:sz w:val="24"/>
          <w:szCs w:val="24"/>
        </w:rPr>
        <w:t xml:space="preserve"> Bu anayasada, kuvvetler birliği, görevler ayrılığı ve yargı bağımsızlığı ilkesi mevcuttu. Cumhurbaşkanı ve Bakanlar Kurulu yürütmeden sorumlu olup yasama tarafından denetlenmektedir. Anayasaya göre, Cumhurbaşkanı, Türkiye Büyük Millet Meclisi tarafından seçilmektedir. Meclis görev süresi ve cumhurbaşkanının da görev süresi 4 yıl olarak belirlenmiştir. Cumhuriyetin kuruluş döneminde, alfabeden, Batı ölçü birimleri ve takvimine, tarımsal ve sınai atılımlara, eğitimde birliğin sağlanmasına, kadın haklarına, soyadı kanunundan anayasaya, laiklik ilkesinin eklenmesine kadar pek çok reformun yapıldığı bir dönem olmuştur. Bu dönemde, ekonomi, devletin kalkınma planları çerçevesinde yönlendirilerek ülkede bir burjuva sınıfı yaratılmaya çalışılmıştır. Cumhuriyet’in kurucu kadroları çoğunlukla Osmanlı askeri okullarında yetişmiş asker kökenli siyasetçiler olmuşlardır. Mustafa Kemal Atatürk’ün vefatının ardından, onun başbakanlığını yapmış olan İsmet İnönü cumhurbaşkanı olmuş ve ardından İkinci Dünya Savaşı çıkmıştır. İnönü döneminde öne çıkan olaylar, Köy Enstitüleri gibi kalkınmaya yönelik adımlar, Varlık Vergisi gibi eşitliği bozan uygulamalar ve özellikle SSCB etkisinin de yarattığı endişelerle </w:t>
      </w:r>
      <w:r w:rsidRPr="00E97E0B">
        <w:rPr>
          <w:rFonts w:ascii="Times New Roman" w:eastAsia="Calibri" w:hAnsi="Times New Roman" w:cs="Times New Roman"/>
          <w:sz w:val="24"/>
          <w:szCs w:val="24"/>
        </w:rPr>
        <w:lastRenderedPageBreak/>
        <w:t>sosyalist siyasetin önlenmesine yönelik baskılar olmuştur.</w:t>
      </w:r>
      <w:r w:rsidR="00FC4529"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 xml:space="preserve">1945’te İnönü çok partili sisteme geçmeyi kabul etmiş ve seçimler gerçekleşmiştir. Zira bu dönemde kurucu liderin kurduğu Cumhuriyet Halk Partisi 1945’e kadar iktidarda kalmıştır. Özellikle İkinci Dünya Savaşı sırasında İnönü yönetimi, savaşa girmemek ve fakat savaş sonrasında Almanya karşıtı müttefik cephenin yanında kalmak için büyük bir çaba göstermiştir. </w:t>
      </w:r>
    </w:p>
    <w:p w14:paraId="684276A6" w14:textId="0994FB16" w:rsidR="002858AE" w:rsidRPr="00E97E0B" w:rsidRDefault="00E93FD2" w:rsidP="002B7FA9">
      <w:pPr>
        <w:pStyle w:val="Heading3"/>
      </w:pPr>
      <w:bookmarkStart w:id="120" w:name="_Toc141133092"/>
      <w:r w:rsidRPr="00E97E0B">
        <w:t>3.</w:t>
      </w:r>
      <w:r w:rsidR="002B7FA9" w:rsidRPr="00E97E0B">
        <w:t>4.</w:t>
      </w:r>
      <w:r w:rsidRPr="00E97E0B">
        <w:t xml:space="preserve">3. </w:t>
      </w:r>
      <w:r w:rsidR="002858AE" w:rsidRPr="00E97E0B">
        <w:t>Çok Partili Dönem</w:t>
      </w:r>
      <w:bookmarkEnd w:id="120"/>
    </w:p>
    <w:p w14:paraId="58CEBBCF"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Çok partili sisteme geçiş, İkinci Dünya Savaşı’nın ardından otoriter rejimlerin savaşı kaybetmesinin ve İnönü’nün Batı’ya ve dünyaya entegre olma çabasının sonucu olarak yaptığı bir tercih olarak görülebilir. Bununla birlikte, bu sisteme geçiş kademeli olarak gerçekleştirilmiştir. Adnan Menderes ve Celal Bayar gibi parti içinden gelen isimlerin ve bazı muhaliflerin yeni bir parti kurarak muhalefet yapmasına olumlu bakılmıştır. Bu kişilerin kurdukları Demokrat Parti (DP), parti içinden temelde eğitim, din ve özel teşebbüsün artırılması meselelerinde iktidardan ayrışmaktaydı. Partinin yeni kurulmuş olmasına rağmen, hızla destek almaya başlaması, iktidarın erken seçim kararı almasına neden olmuştur. Öte yandan, ilk seçimde, CHP galip gelerek iktidar olmuştur. Bu yeni dönemde, İnönü’nün cumhurbaşkanlığının sona ermesiyle, cumhurbaşkanının hükümet üzerindeki eski gücünün kalmadığı söylenebilir. Bu, durum, kurucu kadroların hem ordu hem de siyasi kadrolar üzerindeki etkisiyle anlaşılmaktadır. Kurtuluş Savaşı’nın öncü aktörleri ve galipleri olmanın getirdiği itibara ek olarak, Atatürk’ün 13 sene kadar başbakanlığını yapmış ve sonrasında da yerine geçmiş olan İnönü’nün ve kısmen Celal Bayar’ın hükümet üzerinde etkisi güçlü olduğu söylenebilir. Daha sonra göreve gelecek cumhurbaşkanlarının ağırlığının olağan yetki sınırlarına daha yakın olduğu düşünülebilir. Bununla birlikte, Özal’a kadar istisnasız tüm cumhurbaşkanlarının asker kökenli olması, yönetimde askerin seçimle gelen siviller üzerinde etki gücüne işaret etmektedir.</w:t>
      </w:r>
    </w:p>
    <w:p w14:paraId="0E07D78F" w14:textId="66EF90E5"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 1923’ten beri tek parti yönetimi boyunca, İkinci Dünya Savaşı sonrası yaşanan ekonomik daralma gibi etkenler toplumda iktidar değişikliği taleplerini artırmıştır. “Yeter, Söz Milletin!” sloganıyla ve Batı’yla bütünleşerek refah getireceği vaadiyle kampanya yapan DP, </w:t>
      </w:r>
      <w:r w:rsidR="004116E5" w:rsidRPr="00E97E0B">
        <w:rPr>
          <w:rFonts w:ascii="Times New Roman" w:eastAsia="Calibri" w:hAnsi="Times New Roman" w:cs="Times New Roman"/>
          <w:sz w:val="24"/>
          <w:szCs w:val="24"/>
        </w:rPr>
        <w:t xml:space="preserve">1950 seçiminde </w:t>
      </w:r>
      <w:r w:rsidRPr="00E97E0B">
        <w:rPr>
          <w:rFonts w:ascii="Times New Roman" w:eastAsia="Calibri" w:hAnsi="Times New Roman" w:cs="Times New Roman"/>
          <w:sz w:val="24"/>
          <w:szCs w:val="24"/>
        </w:rPr>
        <w:t>oyların %39,</w:t>
      </w:r>
      <w:r w:rsidR="004116E5" w:rsidRPr="00E97E0B">
        <w:rPr>
          <w:rFonts w:ascii="Times New Roman" w:eastAsia="Calibri" w:hAnsi="Times New Roman" w:cs="Times New Roman"/>
          <w:sz w:val="24"/>
          <w:szCs w:val="24"/>
        </w:rPr>
        <w:t>6</w:t>
      </w:r>
      <w:r w:rsidRPr="00E97E0B">
        <w:rPr>
          <w:rFonts w:ascii="Times New Roman" w:eastAsia="Calibri" w:hAnsi="Times New Roman" w:cs="Times New Roman"/>
          <w:sz w:val="24"/>
          <w:szCs w:val="24"/>
        </w:rPr>
        <w:t>’</w:t>
      </w:r>
      <w:r w:rsidR="004116E5" w:rsidRPr="00E97E0B">
        <w:rPr>
          <w:rFonts w:ascii="Times New Roman" w:eastAsia="Calibri" w:hAnsi="Times New Roman" w:cs="Times New Roman"/>
          <w:sz w:val="24"/>
          <w:szCs w:val="24"/>
        </w:rPr>
        <w:t>sını</w:t>
      </w:r>
      <w:r w:rsidRPr="00E97E0B">
        <w:rPr>
          <w:rFonts w:ascii="Times New Roman" w:eastAsia="Calibri" w:hAnsi="Times New Roman" w:cs="Times New Roman"/>
          <w:sz w:val="24"/>
          <w:szCs w:val="24"/>
        </w:rPr>
        <w:t xml:space="preserve"> alan </w:t>
      </w:r>
      <w:r w:rsidRPr="00E97E0B">
        <w:rPr>
          <w:rFonts w:ascii="Times New Roman" w:eastAsia="Calibri" w:hAnsi="Times New Roman" w:cs="Times New Roman"/>
          <w:sz w:val="24"/>
          <w:szCs w:val="24"/>
        </w:rPr>
        <w:lastRenderedPageBreak/>
        <w:t>rakibi CHP’ye karşı %5</w:t>
      </w:r>
      <w:r w:rsidR="004116E5" w:rsidRPr="00E97E0B">
        <w:rPr>
          <w:rFonts w:ascii="Times New Roman" w:eastAsia="Calibri" w:hAnsi="Times New Roman" w:cs="Times New Roman"/>
          <w:sz w:val="24"/>
          <w:szCs w:val="24"/>
        </w:rPr>
        <w:t>5</w:t>
      </w:r>
      <w:r w:rsidRPr="00E97E0B">
        <w:rPr>
          <w:rFonts w:ascii="Times New Roman" w:eastAsia="Calibri" w:hAnsi="Times New Roman" w:cs="Times New Roman"/>
          <w:sz w:val="24"/>
          <w:szCs w:val="24"/>
        </w:rPr>
        <w:t>,</w:t>
      </w:r>
      <w:r w:rsidR="004116E5" w:rsidRPr="00E97E0B">
        <w:rPr>
          <w:rFonts w:ascii="Times New Roman" w:eastAsia="Calibri" w:hAnsi="Times New Roman" w:cs="Times New Roman"/>
          <w:sz w:val="24"/>
          <w:szCs w:val="24"/>
        </w:rPr>
        <w:t>2</w:t>
      </w:r>
      <w:r w:rsidRPr="00E97E0B">
        <w:rPr>
          <w:rFonts w:ascii="Times New Roman" w:eastAsia="Calibri" w:hAnsi="Times New Roman" w:cs="Times New Roman"/>
          <w:sz w:val="24"/>
          <w:szCs w:val="24"/>
        </w:rPr>
        <w:t xml:space="preserve"> oy oranı ve %8</w:t>
      </w:r>
      <w:r w:rsidR="007959B4" w:rsidRPr="00E97E0B">
        <w:rPr>
          <w:rFonts w:ascii="Times New Roman" w:eastAsia="Calibri" w:hAnsi="Times New Roman" w:cs="Times New Roman"/>
          <w:sz w:val="24"/>
          <w:szCs w:val="24"/>
        </w:rPr>
        <w:t>5</w:t>
      </w:r>
      <w:r w:rsidRPr="00E97E0B">
        <w:rPr>
          <w:rFonts w:ascii="Times New Roman" w:eastAsia="Calibri" w:hAnsi="Times New Roman" w:cs="Times New Roman"/>
          <w:sz w:val="24"/>
          <w:szCs w:val="24"/>
        </w:rPr>
        <w:t>,</w:t>
      </w:r>
      <w:r w:rsidR="007959B4" w:rsidRPr="00E97E0B">
        <w:rPr>
          <w:rFonts w:ascii="Times New Roman" w:eastAsia="Calibri" w:hAnsi="Times New Roman" w:cs="Times New Roman"/>
          <w:sz w:val="24"/>
          <w:szCs w:val="24"/>
        </w:rPr>
        <w:t>4</w:t>
      </w:r>
      <w:r w:rsidRPr="00E97E0B">
        <w:rPr>
          <w:rFonts w:ascii="Times New Roman" w:eastAsia="Calibri" w:hAnsi="Times New Roman" w:cs="Times New Roman"/>
          <w:sz w:val="24"/>
          <w:szCs w:val="24"/>
        </w:rPr>
        <w:t xml:space="preserve"> sandalye oranı ile önemli büyük bir meclis çoğunluğu kazanarak iktidara gelmiştir. Çok isimli basit çoğunluk seçim sisteminin uygulandığı bu dönemin neticesinde, birinci gelen DP en çok sandalyeyi almıştır. DP oylarını 1954 seçimlerinde %5</w:t>
      </w:r>
      <w:r w:rsidR="007959B4" w:rsidRPr="00E97E0B">
        <w:rPr>
          <w:rFonts w:ascii="Times New Roman" w:eastAsia="Calibri" w:hAnsi="Times New Roman" w:cs="Times New Roman"/>
          <w:sz w:val="24"/>
          <w:szCs w:val="24"/>
        </w:rPr>
        <w:t>8</w:t>
      </w:r>
      <w:r w:rsidRPr="00E97E0B">
        <w:rPr>
          <w:rFonts w:ascii="Times New Roman" w:eastAsia="Calibri" w:hAnsi="Times New Roman" w:cs="Times New Roman"/>
          <w:sz w:val="24"/>
          <w:szCs w:val="24"/>
        </w:rPr>
        <w:t>,</w:t>
      </w:r>
      <w:r w:rsidR="007959B4" w:rsidRPr="00E97E0B">
        <w:rPr>
          <w:rFonts w:ascii="Times New Roman" w:eastAsia="Calibri" w:hAnsi="Times New Roman" w:cs="Times New Roman"/>
          <w:sz w:val="24"/>
          <w:szCs w:val="24"/>
        </w:rPr>
        <w:t>4</w:t>
      </w:r>
      <w:r w:rsidRPr="00E97E0B">
        <w:rPr>
          <w:rFonts w:ascii="Times New Roman" w:eastAsia="Calibri" w:hAnsi="Times New Roman" w:cs="Times New Roman"/>
          <w:sz w:val="24"/>
          <w:szCs w:val="24"/>
        </w:rPr>
        <w:t>’</w:t>
      </w:r>
      <w:r w:rsidR="007959B4" w:rsidRPr="00E97E0B">
        <w:rPr>
          <w:rFonts w:ascii="Times New Roman" w:eastAsia="Calibri" w:hAnsi="Times New Roman" w:cs="Times New Roman"/>
          <w:sz w:val="24"/>
          <w:szCs w:val="24"/>
        </w:rPr>
        <w:t>e</w:t>
      </w:r>
      <w:r w:rsidRPr="00E97E0B">
        <w:rPr>
          <w:rFonts w:ascii="Times New Roman" w:eastAsia="Calibri" w:hAnsi="Times New Roman" w:cs="Times New Roman"/>
          <w:sz w:val="24"/>
          <w:szCs w:val="24"/>
        </w:rPr>
        <w:t xml:space="preserve"> yükseltmiş; 1957 seçimlerinde ise %4</w:t>
      </w:r>
      <w:r w:rsidR="007959B4" w:rsidRPr="00E97E0B">
        <w:rPr>
          <w:rFonts w:ascii="Times New Roman" w:eastAsia="Calibri" w:hAnsi="Times New Roman" w:cs="Times New Roman"/>
          <w:sz w:val="24"/>
          <w:szCs w:val="24"/>
        </w:rPr>
        <w:t>8</w:t>
      </w:r>
      <w:r w:rsidRPr="00E97E0B">
        <w:rPr>
          <w:rFonts w:ascii="Times New Roman" w:eastAsia="Calibri" w:hAnsi="Times New Roman" w:cs="Times New Roman"/>
          <w:sz w:val="24"/>
          <w:szCs w:val="24"/>
        </w:rPr>
        <w:t>,</w:t>
      </w:r>
      <w:r w:rsidR="007959B4" w:rsidRPr="00E97E0B">
        <w:rPr>
          <w:rFonts w:ascii="Times New Roman" w:eastAsia="Calibri" w:hAnsi="Times New Roman" w:cs="Times New Roman"/>
          <w:sz w:val="24"/>
          <w:szCs w:val="24"/>
        </w:rPr>
        <w:t>6</w:t>
      </w:r>
      <w:r w:rsidRPr="00E97E0B">
        <w:rPr>
          <w:rFonts w:ascii="Times New Roman" w:eastAsia="Calibri" w:hAnsi="Times New Roman" w:cs="Times New Roman"/>
          <w:sz w:val="24"/>
          <w:szCs w:val="24"/>
        </w:rPr>
        <w:t xml:space="preserve"> oranı</w:t>
      </w:r>
      <w:r w:rsidR="007959B4" w:rsidRPr="00E97E0B">
        <w:rPr>
          <w:rFonts w:ascii="Times New Roman" w:eastAsia="Calibri" w:hAnsi="Times New Roman" w:cs="Times New Roman"/>
          <w:sz w:val="24"/>
          <w:szCs w:val="24"/>
        </w:rPr>
        <w:t>nda oy</w:t>
      </w:r>
      <w:r w:rsidRPr="00E97E0B">
        <w:rPr>
          <w:rFonts w:ascii="Times New Roman" w:eastAsia="Calibri" w:hAnsi="Times New Roman" w:cs="Times New Roman"/>
          <w:sz w:val="24"/>
          <w:szCs w:val="24"/>
        </w:rPr>
        <w:t xml:space="preserve"> almıştır. 1950’de meclise Fevzi Çakmak’ın destek verdiği Millet Partisi (MP) tek bir vekil çıkarabilmiştir. 1954 seçimlerinde sonraları Milliyetçi Hareket Partisi’nin temsil edeceği sağ milliyetçi çizgiyi temsil eden Cumhuriyetçi Köylü Partisi (CMP) ve benzer eğilime sahip Türkiye Köylü Partisi seçimlere katılmıştır. CMP, 5 vekil çıkarabilirken Türkiye Köylü Partisi vekil çıkaramamıştır.</w:t>
      </w:r>
      <w:r w:rsidR="007959B4" w:rsidRPr="00E97E0B">
        <w:rPr>
          <w:rStyle w:val="FootnoteReference"/>
          <w:rFonts w:ascii="Times New Roman" w:eastAsia="Calibri" w:hAnsi="Times New Roman" w:cs="Times New Roman"/>
          <w:sz w:val="24"/>
          <w:szCs w:val="24"/>
        </w:rPr>
        <w:footnoteReference w:id="208"/>
      </w:r>
    </w:p>
    <w:p w14:paraId="5DE536E1"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1950 ve 1954 ve 1957 seçimlerinde kazanan Adnan Menderes ve Celal Bayar’ın öncülük ettikleri parti Batı ile ilişkileri geliştirmiştir. NATO’ya girmek ve Batı’yla bütünleşme hedefine yönelik icraatlara ek olarak, ucuz kredi vererek tarımda ve sanayide iyileşmeler yapılmış, makineleşmenin de artmasıyla bu dönemde köylü nüfus kentlere işçi olarak göç etmeye başlamıştır. Ayrıca, 1950 seçimlerinden kısa bir süre önce, 1946’da yapılan açık oy gizli sayım uygulaması, DP’nin ısrarları sonucu gizli oy açık sayım esası kanunlaştırılmıştır. Diğer taraftan, imam hatiplerin yeniden eğitime başlaması gibi laiklik ilkesinin yumuşatılmasına yönelik adımlar atılmıştır. Menderes Hükümeti’nin başarılı köylü sınıfını ekonomik olarak güçlendiren politikalarının sosyal ve ekonomik değişimler getirmesiyle ve kentli nüfusun artmasıyla, yeni çıkan sorunlara yönelik yetersiz kalınması ve kentli kesimlerin ve bürokrasinin sorunlarına yanıt vermekte zorlanması memnuniyetsizlikleri artırmıştır. CHP de muhalefet olarak başlarda eğitim ve dini özgürlüklerle ilgili itirazları DP’nin ikinci döneminde ekonomik ve sosyal politikalarda yoğunlaşmıştır. Hükümetin tepkileri bastırmak için gerçekleştirdiği uygulamalar, muhalefeti sindirme çabaları, 6-7 Eylül olayları gibi hukuksuz olaylar, basın özgürlüklerinin kısıtlanması tepki görmüştür. 1960’ta, ordu içinde Alparslan Türkeş’in de içinde olduğu bir grup subayın örgütlediği bir darbeyle DP iktidarı kaybetmiştir. Ayrıca, başbakan ve cumhurbaşkanının da aralarında olduğu önde gelen dört siyasetçi, Fatin Rüştü Zorlu, Hasan Polatkan, Adnan Menderes ve </w:t>
      </w:r>
      <w:r w:rsidRPr="00E97E0B">
        <w:rPr>
          <w:rFonts w:ascii="Times New Roman" w:eastAsia="Calibri" w:hAnsi="Times New Roman" w:cs="Times New Roman"/>
          <w:sz w:val="24"/>
          <w:szCs w:val="24"/>
        </w:rPr>
        <w:lastRenderedPageBreak/>
        <w:t>Celal Bayar idama mahkûm edilmiştir. Bayar yaşı nedeniyle infaz edilmemiştir. Bu durum ülkenin siyasi tarihinde oldukça olumsuz bir hatıra bıraktığı gibi demokrasi kültürünü de olumsuz etkilemiştir.</w:t>
      </w:r>
    </w:p>
    <w:p w14:paraId="3D773CD7" w14:textId="23E104B9" w:rsidR="002858AE" w:rsidRPr="00E97E0B" w:rsidRDefault="00E93FD2" w:rsidP="002B7FA9">
      <w:pPr>
        <w:pStyle w:val="Heading3"/>
      </w:pPr>
      <w:bookmarkStart w:id="121" w:name="_Toc141133093"/>
      <w:r w:rsidRPr="00E97E0B">
        <w:t>3.</w:t>
      </w:r>
      <w:r w:rsidR="002B7FA9" w:rsidRPr="00E97E0B">
        <w:t>4</w:t>
      </w:r>
      <w:r w:rsidRPr="00E97E0B">
        <w:t xml:space="preserve">.4. </w:t>
      </w:r>
      <w:r w:rsidR="002858AE" w:rsidRPr="00E97E0B">
        <w:t>1961 Anayasası</w:t>
      </w:r>
      <w:bookmarkEnd w:id="121"/>
      <w:r w:rsidR="002858AE" w:rsidRPr="00E97E0B">
        <w:t xml:space="preserve"> </w:t>
      </w:r>
    </w:p>
    <w:p w14:paraId="2265DB8D" w14:textId="0A6166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1961 Anayasası taslağı, darbenin hemen ardından halk oylamasına sunulmuş ve %61,5 oy oranı ile kabul edilmiştir. 1961 Anayasası, partileri tanımlayan ilk anayasadır. Bu Anayasa yüksek yargı organı olarak Anayasa Mahkemesi’ni kurmuştur. Anayasa Mahkemesi, esasen yasama ve yürütme erklerine karşı bir denge unsuru olarak yer almıştır. Seçimlerde, hâkim, subay ve memurların istifa etmeden aday olmasını yasaklayan ilk anayasadır. O dönemde, iki kamaralı parlamento; Cumhuriyet Senatosu ve Türkiye Büyük Millet Meclisi (TBMM)’den oluşmaktadır. 1961 Anayasası’nda yürütme siyasi olarak zayıf, idari olarak güçlü hale getirilmiştir.</w:t>
      </w:r>
      <w:r w:rsidRPr="00E97E0B">
        <w:rPr>
          <w:rFonts w:ascii="Times New Roman" w:eastAsia="Calibri" w:hAnsi="Times New Roman" w:cs="Times New Roman"/>
          <w:sz w:val="24"/>
          <w:szCs w:val="24"/>
          <w:vertAlign w:val="superscript"/>
        </w:rPr>
        <w:footnoteReference w:id="209"/>
      </w:r>
      <w:r w:rsidRPr="00E97E0B">
        <w:rPr>
          <w:rFonts w:ascii="Times New Roman" w:eastAsia="Calibri" w:hAnsi="Times New Roman" w:cs="Times New Roman"/>
          <w:sz w:val="24"/>
          <w:szCs w:val="24"/>
        </w:rPr>
        <w:t xml:space="preserve"> Seçim sisteminde içerdiği en önemli yenilik, nisbi temsil sistemidir. 1961 Seçimlerinde CHP %36 ile en yüksek oy oranına sahip olsa da DP’nin siyasi çizgisinde olan Adalet Partisi (AP) ve Yeni Türkiye Partisi (YTP) toplamda 48,5’ini almıştır. Sağ milliyetçi çizgideki Cumhuriyetçi Köylü Millet Partisi (CKMP) ise %1</w:t>
      </w:r>
      <w:r w:rsidR="00864659" w:rsidRPr="00E97E0B">
        <w:rPr>
          <w:rFonts w:ascii="Times New Roman" w:eastAsia="Calibri" w:hAnsi="Times New Roman" w:cs="Times New Roman"/>
          <w:sz w:val="24"/>
          <w:szCs w:val="24"/>
        </w:rPr>
        <w:t>4</w:t>
      </w:r>
      <w:r w:rsidRPr="00E97E0B">
        <w:rPr>
          <w:rFonts w:ascii="Times New Roman" w:eastAsia="Calibri" w:hAnsi="Times New Roman" w:cs="Times New Roman"/>
          <w:sz w:val="24"/>
          <w:szCs w:val="24"/>
        </w:rPr>
        <w:t xml:space="preserve"> oy almış ve yeni seçim sistemiyle oy oranlarına oldukça yakın bir oranda sandalye elde etmişlerdir.</w:t>
      </w:r>
      <w:r w:rsidR="00864659" w:rsidRPr="00E97E0B">
        <w:rPr>
          <w:rStyle w:val="FootnoteReference"/>
          <w:rFonts w:ascii="Times New Roman" w:eastAsia="Calibri" w:hAnsi="Times New Roman" w:cs="Times New Roman"/>
          <w:sz w:val="24"/>
          <w:szCs w:val="24"/>
        </w:rPr>
        <w:footnoteReference w:id="210"/>
      </w:r>
      <w:r w:rsidRPr="00E97E0B">
        <w:rPr>
          <w:rFonts w:ascii="Times New Roman" w:eastAsia="Calibri" w:hAnsi="Times New Roman" w:cs="Times New Roman"/>
          <w:sz w:val="24"/>
          <w:szCs w:val="24"/>
        </w:rPr>
        <w:t xml:space="preserve"> Çok isimli basit çoğunluk seçim sisteminin uygulandığı ilk çok partili seçimlerin neticesinde görülen dağılım sorunu, 1961 anayasasında Meclis için Nisbi Temsil seçim yönteminde karar kılınmasına neden olmuştur. Bu da parlamentoda temsil edilen parti sayısını artırmıştır.</w:t>
      </w:r>
      <w:r w:rsidRPr="00E97E0B">
        <w:rPr>
          <w:rFonts w:ascii="Times New Roman" w:eastAsia="Calibri" w:hAnsi="Times New Roman" w:cs="Times New Roman"/>
          <w:sz w:val="24"/>
          <w:szCs w:val="24"/>
          <w:vertAlign w:val="superscript"/>
        </w:rPr>
        <w:footnoteReference w:id="211"/>
      </w:r>
      <w:r w:rsidRPr="00E97E0B">
        <w:rPr>
          <w:rFonts w:ascii="Times New Roman" w:eastAsia="Calibri" w:hAnsi="Times New Roman" w:cs="Times New Roman"/>
          <w:sz w:val="24"/>
          <w:szCs w:val="24"/>
        </w:rPr>
        <w:t xml:space="preserve"> Ancak özellikle sol siyasi seçim sonuçlarının sağın zaferiyle sonuçlanması nedeniyle bir düş kırıklığı olmuştur. Bu da özellikle aşırı solda daha radikal çözüm beklentilerini beraberinde getirmiştir.</w:t>
      </w:r>
    </w:p>
    <w:p w14:paraId="38A462BA" w14:textId="6CD19D2D"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Hiçbir parti tek başına çoğunluğu sağlayamadığından, bu dönemde, ilk koalisyon hükümetinin kurulmuştur. CHP ve Adalet Partisi (AP) ilk koalisyonu oluşturmuş, ardından 1965 seçimlerine kadar dört defa daha farklı hükümetler </w:t>
      </w:r>
      <w:r w:rsidRPr="00E97E0B">
        <w:rPr>
          <w:rFonts w:ascii="Times New Roman" w:eastAsia="Calibri" w:hAnsi="Times New Roman" w:cs="Times New Roman"/>
          <w:sz w:val="24"/>
          <w:szCs w:val="24"/>
        </w:rPr>
        <w:lastRenderedPageBreak/>
        <w:t>koalisyon yapmıştır. 1965 seçimi milli bakiye usulüyle yapılmıştır. Bu seçim sisteminin de yardımıyla 1965 seçimi sonrası meclise bu dört partiye ek olarak yeni kurulan ve sosyalist bir parti olan Türkiye İşçi Partisi (TİP) ve MP de milletvekili çıkarabilmiştir. Temsilde adalet-İstikrar ikiliğinde, yeni anayasal rejim, temsilde adaleti öncelemiştir. Ayrıca, bir tek partinin (AP) oyların yüzde ellisinden fazlasını almış olması sebebiyle, istikrarlı bir yönetim için gereken sandalye dağılımı da oluşmuştur. Bununla birlikte, AP milli bakiye sistemini değiştirmek için kanun yapmış ancak bu kanun Anayasa Mahkemesi’nden dönmüştür. 1969 seçimlerinde de meclis sandalye dağılımı benzer bir şekilde olmuştur. Büyük iki parti (AP ve CHP) seçimi birinci bitirmiş, fakat oyları kısmi bir düşüş yaşamış ve çok sayıda küçük parti mecliste yer almıştır. Bu dönemde, Kıbrıs meselesi, 1970’te paranın değer kaybı, sanayi ekonomisinin tarım ekonomisine tercih edilmesi gibi faktörler öne çıkmıştır. Ayrıca AP ile ilgili çeşitli yolsuzluk iddiaları da parti içinden 40 civarında veki</w:t>
      </w:r>
      <w:r w:rsidR="00C84DEE" w:rsidRPr="00E97E0B">
        <w:rPr>
          <w:rFonts w:ascii="Times New Roman" w:eastAsia="Calibri" w:hAnsi="Times New Roman" w:cs="Times New Roman"/>
          <w:sz w:val="24"/>
          <w:szCs w:val="24"/>
        </w:rPr>
        <w:t>l</w:t>
      </w:r>
      <w:r w:rsidRPr="00E97E0B">
        <w:rPr>
          <w:rFonts w:ascii="Times New Roman" w:eastAsia="Calibri" w:hAnsi="Times New Roman" w:cs="Times New Roman"/>
          <w:sz w:val="24"/>
          <w:szCs w:val="24"/>
        </w:rPr>
        <w:t xml:space="preserve">in ayrılarak DP’yi yeniden kurmalarına neden olmuştur.  </w:t>
      </w:r>
    </w:p>
    <w:p w14:paraId="156C3D62"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TİP, CHP’nin tabanından da oy alma potansiyeli görüldüğünden, CHP’nin 1965 yılında kendisini “ortanın solu” olarak konumlandırmasına da neden olmuştur. Bu da CHP’nin sosyal-demokrat bir kimliğe kavuşmasının başlangıcı olarak görülmüştür.</w:t>
      </w:r>
      <w:r w:rsidRPr="00E97E0B">
        <w:rPr>
          <w:rFonts w:ascii="Times New Roman" w:eastAsia="Calibri" w:hAnsi="Times New Roman" w:cs="Times New Roman"/>
          <w:sz w:val="24"/>
          <w:szCs w:val="24"/>
          <w:vertAlign w:val="superscript"/>
        </w:rPr>
        <w:footnoteReference w:id="212"/>
      </w:r>
    </w:p>
    <w:p w14:paraId="747B9AD6" w14:textId="332A878A"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12 Mart 1971’de ordu bir muhtıra yayınlamış ve AP’nin genel başkanı ve başbakan Süleyman Demirel’i istifaya zorlamıştır. Bu muhtıra hem Demirel’i hem de ordunun içindeki </w:t>
      </w:r>
      <w:r w:rsidR="00C84DEE" w:rsidRPr="00E97E0B">
        <w:rPr>
          <w:rFonts w:ascii="Times New Roman" w:eastAsia="Calibri" w:hAnsi="Times New Roman" w:cs="Times New Roman"/>
          <w:sz w:val="24"/>
          <w:szCs w:val="24"/>
        </w:rPr>
        <w:t>M</w:t>
      </w:r>
      <w:r w:rsidRPr="00E97E0B">
        <w:rPr>
          <w:rFonts w:ascii="Times New Roman" w:eastAsia="Calibri" w:hAnsi="Times New Roman" w:cs="Times New Roman"/>
          <w:sz w:val="24"/>
          <w:szCs w:val="24"/>
        </w:rPr>
        <w:t>arksist grupların yükselmesini engellemeye yönelik bir darbe olarak değerlendirilmiştir.</w:t>
      </w:r>
      <w:r w:rsidRPr="00E97E0B">
        <w:rPr>
          <w:rFonts w:ascii="Times New Roman" w:eastAsia="Calibri" w:hAnsi="Times New Roman" w:cs="Times New Roman"/>
          <w:sz w:val="24"/>
          <w:szCs w:val="24"/>
          <w:vertAlign w:val="superscript"/>
        </w:rPr>
        <w:footnoteReference w:id="213"/>
      </w:r>
      <w:r w:rsidRPr="00E97E0B">
        <w:rPr>
          <w:rFonts w:ascii="Times New Roman" w:eastAsia="Calibri" w:hAnsi="Times New Roman" w:cs="Times New Roman"/>
          <w:sz w:val="24"/>
          <w:szCs w:val="24"/>
        </w:rPr>
        <w:t xml:space="preserve"> </w:t>
      </w:r>
    </w:p>
    <w:p w14:paraId="44EFF376" w14:textId="224F416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1972’te İnönü’den parti başkanlığını alan Bülent Ecevit, 1973’de %33,3 oranla meclisin %41’ini kazanmış ve AP de %29,8’le ikinci parti olmuştur.</w:t>
      </w:r>
      <w:r w:rsidR="00B93441" w:rsidRPr="00E97E0B">
        <w:rPr>
          <w:rStyle w:val="FootnoteReference"/>
          <w:rFonts w:ascii="Times New Roman" w:eastAsia="Calibri" w:hAnsi="Times New Roman" w:cs="Times New Roman"/>
          <w:sz w:val="24"/>
          <w:szCs w:val="24"/>
        </w:rPr>
        <w:footnoteReference w:id="214"/>
      </w:r>
      <w:r w:rsidRPr="00E97E0B">
        <w:rPr>
          <w:rFonts w:ascii="Times New Roman" w:eastAsia="Calibri" w:hAnsi="Times New Roman" w:cs="Times New Roman"/>
          <w:sz w:val="24"/>
          <w:szCs w:val="24"/>
        </w:rPr>
        <w:t xml:space="preserve"> Ecevit’in bu başarısı partide ve ülkede sosyal-demokrasiye olan ilgi ve rağbetin artmasıyla da açıklanmaktadır.</w:t>
      </w:r>
      <w:r w:rsidRPr="00E97E0B">
        <w:rPr>
          <w:rFonts w:ascii="Times New Roman" w:eastAsia="Calibri" w:hAnsi="Times New Roman" w:cs="Times New Roman"/>
          <w:sz w:val="24"/>
          <w:szCs w:val="24"/>
          <w:vertAlign w:val="superscript"/>
        </w:rPr>
        <w:footnoteReference w:id="215"/>
      </w:r>
      <w:r w:rsidRPr="00E97E0B">
        <w:rPr>
          <w:rFonts w:ascii="Times New Roman" w:eastAsia="Calibri" w:hAnsi="Times New Roman" w:cs="Times New Roman"/>
          <w:sz w:val="24"/>
          <w:szCs w:val="24"/>
        </w:rPr>
        <w:t xml:space="preserve"> Bu, partinin sağ kanadının bölünüp Cumhuriyetçi Güven Partisi’nin (CGP) kurulmasına neden olmuştur, fakar CHP mecliste birinci parti gelmesine rağmen çoğunluğu sağlayamadığı için koalisyon kurmak zorunda kalmıştır. Koalisyon için iki aday partiden Necmettin Erbakan’ın başkanlığını </w:t>
      </w:r>
      <w:r w:rsidRPr="00E97E0B">
        <w:rPr>
          <w:rFonts w:ascii="Times New Roman" w:eastAsia="Calibri" w:hAnsi="Times New Roman" w:cs="Times New Roman"/>
          <w:sz w:val="24"/>
          <w:szCs w:val="24"/>
        </w:rPr>
        <w:lastRenderedPageBreak/>
        <w:t xml:space="preserve">yaptığı Milli Selamet Partisi (MSP) ile bir yıl koalisyonun ardından AP-MSP-MHP-CGP ortaklığında Milliyetçi Cephe Hükümeti kurulmuş ve Demirel başbakan olmuştur. CHP-MSP koalisyonu sırasında Ecevit, ABD’nin istemiş olduğu haşhaş ekim yasağını kaldırmış, siyasi hükümlüler için af çıkarmış ve Kıbrıs Barış Harekatı’nı başlatmıştır. Bu süreçte, Asala tarafından Türk Dışişleri personeline saldırılar başlatılmış, 34 personel vefat etmiş, 10 personel yaralanmış ve Paris’te bulunan bir Türk Hava Yolları uçağı patlatılmıştır. </w:t>
      </w:r>
    </w:p>
    <w:p w14:paraId="445BC91D"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1977’de ülke içi şiddet olaylarının artması ve ekonomik bunalım nedeniyle erken seçime gidilmiştir. Seçimde CHP birinci parti olarak çıksa da tek başına çoğunluğu sağlayamamıştır. Azınlık hükümeti kurulmuş, fakat güvenoyu alamamıştır. Bunun üzerine AP, MHP ve MSP’nin oluşturduğu II. Milliyetçi Cephe Hükümeti kurulmuştur. Ardından MSP ve MHP’nin dışarıdan desteklediği iki hükümet daha kurulmuştur. Ülke içi karışıklıkların ve şiddet olaylarının da sürmesinin de etkisiyle 1980 yılında genelkurmay başkanı tarafından yönetime el koyulmuştur. Bunun nedeninin önceki anayasanın gereğinden fazla özgürlük içerdiği ve çözümün “disiplinli demokrasi” olduğu düşünülmekteydi.</w:t>
      </w:r>
      <w:r w:rsidRPr="00E97E0B">
        <w:rPr>
          <w:rFonts w:ascii="Times New Roman" w:eastAsia="Calibri" w:hAnsi="Times New Roman" w:cs="Times New Roman"/>
          <w:sz w:val="24"/>
          <w:szCs w:val="24"/>
          <w:vertAlign w:val="superscript"/>
        </w:rPr>
        <w:footnoteReference w:id="216"/>
      </w:r>
      <w:r w:rsidRPr="00E97E0B">
        <w:rPr>
          <w:rFonts w:ascii="Times New Roman" w:eastAsia="Calibri" w:hAnsi="Times New Roman" w:cs="Times New Roman"/>
          <w:sz w:val="24"/>
          <w:szCs w:val="24"/>
        </w:rPr>
        <w:t xml:space="preserve"> Meclis ve Hükümet dağıtılmış, bütün partiler kapatılmış ve Kenan Evren ve dört kuvvet komutanı Milli Güvenlik Kurulu’nu (MGK) kurulmuştur. </w:t>
      </w:r>
    </w:p>
    <w:p w14:paraId="103F2FCF" w14:textId="37151E77" w:rsidR="002858AE" w:rsidRPr="00E97E0B" w:rsidRDefault="00E93FD2" w:rsidP="002B7FA9">
      <w:pPr>
        <w:pStyle w:val="Heading3"/>
      </w:pPr>
      <w:bookmarkStart w:id="122" w:name="_Toc141133094"/>
      <w:r w:rsidRPr="00E97E0B">
        <w:t>3.</w:t>
      </w:r>
      <w:r w:rsidR="002B7FA9" w:rsidRPr="00E97E0B">
        <w:t>4</w:t>
      </w:r>
      <w:r w:rsidR="0067740E" w:rsidRPr="00E97E0B">
        <w:t>.</w:t>
      </w:r>
      <w:r w:rsidRPr="00E97E0B">
        <w:t xml:space="preserve">5. </w:t>
      </w:r>
      <w:r w:rsidR="002858AE" w:rsidRPr="00E97E0B">
        <w:t>1982 Anayasası</w:t>
      </w:r>
      <w:bookmarkEnd w:id="122"/>
    </w:p>
    <w:p w14:paraId="6319DC9B"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MGK’nın ülkeyi yönettiği iki yıllık sürecin sonunda hazırlanan anayasa taslağı 1982’de referandumla (%91 evet oyu ile) geçmiştir. Bu anayasa, aynı zamanda Evren’i doğrudan cumhurbaşkanı yapmaktaydı. Kabul edilen anayasa ve Evren’in cumhurbaşkanlığı aynı referandum paketinde yer almıştır, ancak seçim koşulları ve sunulan başka bir seçeneğin de olmaması durumu, vatandaşa başka bir alternatif sunmamıştır. 1982 Anayasası’nın ardından gelen seçim kanunu, 1968’de AP’nin önerdiği ancak AYM’den dönmüş olan seçim çevresi barajını ve partiler için ülke genelinde vekil çıkarma koşulu olarak ülke geneli %10 oy oranı barajını kabul etmektedir. Barajların amacı, bir yandan küçük partilerin oluşmasını engellemek diğer yandan da Kürt hareketinden gelen ayrılıkçı eğilimleri olan partilerin meclise girmesini zorlaştırmaktır. Bu belirgin bir şekilde ülkedeki </w:t>
      </w:r>
      <w:r w:rsidRPr="00E97E0B">
        <w:rPr>
          <w:rFonts w:ascii="Times New Roman" w:eastAsia="Calibri" w:hAnsi="Times New Roman" w:cs="Times New Roman"/>
          <w:sz w:val="24"/>
          <w:szCs w:val="24"/>
        </w:rPr>
        <w:lastRenderedPageBreak/>
        <w:t>yaklaşık seçmenin %60’ına tekabül eden sağ partiler ve temsilde adalet-istikrar ilkeleri arasında istikrar lehine bir düzenlemedir. Seçim kanunu, 1962 Anayasası’nın temsilde adalet ilkesi lehine yapıldığı ve azınlıkta kalan ya da muhalefet olabilecek sol ve merkez partilerin lehine olmuş olduğu örneğin tersi istikametinde bir gelişme olarak değerlendirilmektedir.</w:t>
      </w:r>
      <w:r w:rsidRPr="00E97E0B">
        <w:rPr>
          <w:rFonts w:ascii="Times New Roman" w:eastAsia="Calibri" w:hAnsi="Times New Roman" w:cs="Times New Roman"/>
          <w:sz w:val="24"/>
          <w:szCs w:val="24"/>
          <w:vertAlign w:val="superscript"/>
        </w:rPr>
        <w:footnoteReference w:id="217"/>
      </w:r>
    </w:p>
    <w:p w14:paraId="7231204A"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Kargaşa durumunun sona ermesiyle, gözaltı sayısı 650.000, yargılama 230.000, idama mahkûm edilen sayısı 517, idam edilen 49, işkencede ölen 171, işten çıkarılma 30.000, yurt dışına kaçan kişi sayısı 30.000 ve hapis cezasına çarptırılan gazeteci sayısı ise 3.315 olarak kayıtlara geçmiştir. Ecevit, Demirel, Erbakan ve Türkeş belli bir süre tutuklu kalmışlardır. Ayrıca 1984’te PKK (Kürdistan İşçi Partisi) örgütünün silahlı eylemleri ve saldırıları başlamıştı. Bu saldırı, Türkiye’nin bundan sonraki sürekli gündemi haline gelecek terör meselesinin başlangıcıydı. </w:t>
      </w:r>
    </w:p>
    <w:p w14:paraId="61B0ABFE" w14:textId="7C6E0FD6"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Bu dönemde, pek çok sendika kapatılmış veya işlevsiz hale gelmiştir. Hem 1982 darbesi ile hem de 1970’lerden beri sağ siyasetin güç kazanması ile paralel giden süreçte, Evren ve destekçileri, komünizm karşısında din ve milliyetçiliğin öne çıkarıldığı bir sağ siyaseti çözüm olarak görmüşlerdir. Devlet Güvenlik Mahkemelerinin kurulması, Alevi köylerine cami yapmak, tarikatlara kadrolar sağlamak,</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sz w:val="24"/>
          <w:szCs w:val="24"/>
        </w:rPr>
        <w:t>Atatürk İlkeleri ve İnkılap Tarihi derslerinin üniversite müfredatlarına zorunlu olarak koyulması, basın ve ifade özgürlüğünün ortadan kalkması, Sünniliği merkeze alan tek tip din derslerinin zorunlu hâle getirilmesi gibi uygulamalar bu süreçte güçlenmiştir.</w:t>
      </w:r>
      <w:r w:rsidRPr="00E97E0B">
        <w:rPr>
          <w:rFonts w:ascii="Times New Roman" w:eastAsia="Calibri" w:hAnsi="Times New Roman" w:cs="Times New Roman"/>
          <w:sz w:val="24"/>
          <w:szCs w:val="24"/>
          <w:vertAlign w:val="superscript"/>
        </w:rPr>
        <w:footnoteReference w:id="218"/>
      </w:r>
      <w:r w:rsidRPr="00E97E0B">
        <w:rPr>
          <w:rFonts w:ascii="Times New Roman" w:eastAsia="Calibri" w:hAnsi="Times New Roman" w:cs="Times New Roman"/>
          <w:sz w:val="24"/>
          <w:szCs w:val="24"/>
        </w:rPr>
        <w:t xml:space="preserve"> Türkiye siyasal ekseninde -gerek sağ siyasetin gerek sol siyasetin önünü açsın-, askeri müdahale ve kontrol çekmek isteyen tüm darbe ve muhtıraların ortak özelliği, tamamının laiklik vurgusuyla kendisine meşruiyet zemini sağlamasıdır. Atılan adımlar meşruiyet zeminine ilişkin kaygıyı gerçekten de taşıyarak gerçekleştirilmiştir.</w:t>
      </w:r>
      <w:r w:rsidRPr="00E97E0B">
        <w:rPr>
          <w:rFonts w:ascii="Times New Roman" w:eastAsia="Calibri" w:hAnsi="Times New Roman" w:cs="Times New Roman"/>
          <w:sz w:val="24"/>
          <w:szCs w:val="24"/>
          <w:vertAlign w:val="superscript"/>
        </w:rPr>
        <w:footnoteReference w:id="219"/>
      </w:r>
      <w:r w:rsidRPr="00E97E0B">
        <w:rPr>
          <w:rFonts w:ascii="Times New Roman" w:eastAsia="Calibri" w:hAnsi="Times New Roman" w:cs="Times New Roman"/>
          <w:sz w:val="24"/>
          <w:szCs w:val="24"/>
        </w:rPr>
        <w:t xml:space="preserve"> Bir diğer ortak özellik ise Atatürk’ün meşruiyet zemini olarak başvurulan bir sembol olmasıdır; çünkü Atatürk hem asker</w:t>
      </w:r>
      <w:r w:rsidR="00AB70E9"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kökenli, hem laikliğin sembol savunucusu, hem de Kurtuluş Savaşı kahramanı olarak dayanak sağlayan bir figür olmuştur.</w:t>
      </w:r>
    </w:p>
    <w:p w14:paraId="51C32BE1"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ab/>
      </w:r>
      <w:r w:rsidRPr="00E97E0B">
        <w:rPr>
          <w:rFonts w:ascii="Times New Roman" w:eastAsia="Calibri" w:hAnsi="Times New Roman" w:cs="Times New Roman"/>
          <w:sz w:val="24"/>
          <w:szCs w:val="24"/>
        </w:rPr>
        <w:tab/>
        <w:t xml:space="preserve">Bu anayasa, sistemin parlamenter bir niteliği devam ettiren, tek meclisli ve devletin hem coğrafi hem de idari anlamda oldukça merkezileştiği bir sistemi de beraberinde getirmektedir. Ulusal düzeyde, yalnızca meclis seçimi yapılmaktadır. MGK’nın anayasaya eklenerek tavsiye niteliğinde karar alan bir organ olarak belirlenmesi, MGK’yı bir vesayet organı atamak anlamına gelmektedir. Bu durum, anayasanın içeriğinde mevcut olmasa da MGK kararları 1982 Anayasası tarihinde nadiren uygulanmamış kararlardır. Üniversiteleri denetlemek üzere Yüksek Öğretim Kurumu anayasaya eklenmiştir. Darbe öncesi faal olan siyasiler de siyasetten menedilmiştir. </w:t>
      </w:r>
    </w:p>
    <w:p w14:paraId="47773333" w14:textId="2D446E62"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Evren’in açıktan desteklediği Orgeneral Turgut Sunalp’in kurduğu Milliyetçi Demokrasi Partisi (MDP), orta sol olduğu varsayılan Halkçı Parti (HP) ve Turgut Özal’ın başkanı olduğu ve sağ, sol, İslamcı, merkez pek çok farklı görüşten siyasetçinin bir araya geldiği Anavatan Partisi (ANAP) seçime girme izni alabilen partiler olmuştur. HP %30,5, MDP %23</w:t>
      </w:r>
      <w:r w:rsidR="00DA2234" w:rsidRPr="00E97E0B">
        <w:rPr>
          <w:rFonts w:ascii="Times New Roman" w:eastAsia="Calibri" w:hAnsi="Times New Roman" w:cs="Times New Roman"/>
          <w:sz w:val="24"/>
          <w:szCs w:val="24"/>
        </w:rPr>
        <w:t>,3</w:t>
      </w:r>
      <w:r w:rsidRPr="00E97E0B">
        <w:rPr>
          <w:rFonts w:ascii="Times New Roman" w:eastAsia="Calibri" w:hAnsi="Times New Roman" w:cs="Times New Roman"/>
          <w:sz w:val="24"/>
          <w:szCs w:val="24"/>
        </w:rPr>
        <w:t xml:space="preserve"> oranında oy almıştır. Evren’in ilk tercihi Özal olmamıştır, ancak ANAP oyların %45,1’ini alarak meclisin %52,9’luk çoğunluğunu elde etmiştir.</w:t>
      </w:r>
      <w:r w:rsidR="00DA2234" w:rsidRPr="00E97E0B">
        <w:rPr>
          <w:rStyle w:val="FootnoteReference"/>
          <w:rFonts w:ascii="Times New Roman" w:eastAsia="Calibri" w:hAnsi="Times New Roman" w:cs="Times New Roman"/>
          <w:sz w:val="24"/>
          <w:szCs w:val="24"/>
        </w:rPr>
        <w:footnoteReference w:id="220"/>
      </w:r>
      <w:r w:rsidRPr="00E97E0B">
        <w:rPr>
          <w:rFonts w:ascii="Times New Roman" w:eastAsia="Calibri" w:hAnsi="Times New Roman" w:cs="Times New Roman"/>
          <w:sz w:val="24"/>
          <w:szCs w:val="24"/>
        </w:rPr>
        <w:t xml:space="preserve"> Diğer taraftan, Özal, İslamcı çevreye yakın bir liberalleşme yanlısıydı, ancak Evren’le ideolojik bakımdan uyumsuz olmayan bir profile sahipti. Bu nedenle Evren, ilk tercihi Özal olmamasına rağmen sandıktan çıkan sonuca rıza göstermiştir. Bu sonuç, anayasal rejime dönülerek siyasi sistemin normalleştirilmesinin başlangıcı olmuştur. Bu dönemde, borsanın açılması, özelleştirmelerin başlaması, yabancı sermayenin teşvik edilmesi, ihracatı artırmak için paranın değerini düşürmesi, enerji yatırımlarının artırılması, yol, köprü, baraj gibi projeler gerçekleştirilmiştir. Özal, Evren’in de isteğine uygun olacak şekilde serbest piyasa ekonomisine geçişi sağlamıştır. </w:t>
      </w:r>
    </w:p>
    <w:p w14:paraId="42F40AE9"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Erdal İnönü darbeden sonra siyasete atılarak 1983’te Sosyal Demokrasi Partisi’ni (DSP) kurmuş ve iki yıl içinde Halkçı Parti ile birleşerek Sosyal Demokrat Halk Partisi (SHP) adını almıştır. Bu parti daha sonra 1995’te CHP’ye eklemlenmiştir. 1982 Anayasasıyla eski siyasetçilere gelen siyaset yasağı 1987 </w:t>
      </w:r>
      <w:r w:rsidRPr="00E97E0B">
        <w:rPr>
          <w:rFonts w:ascii="Times New Roman" w:eastAsia="Calibri" w:hAnsi="Times New Roman" w:cs="Times New Roman"/>
          <w:sz w:val="24"/>
          <w:szCs w:val="24"/>
        </w:rPr>
        <w:lastRenderedPageBreak/>
        <w:t xml:space="preserve">yılında yapılan referandumla yüzde birden az bir farkla kaldırılmış ve bu referandumla seçmen yaşı 20’ye indirilmiştir. </w:t>
      </w:r>
    </w:p>
    <w:p w14:paraId="27536F41" w14:textId="275BED92"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Bu yıldan itibaren Ecevit liderliğinde kurulmuş olan DSP, Erbakan tarafından liderlik edilen Refah Partisi (RP), Demirel’in başkanı olduğu Doğru Yol Partisi (DYP) ve Türkeş tarafından liderlik edilen MHP’nin devamı Milliyetçi Çalışma Partisi (MÇP) siyasi hayata geri dönmüştür. Yerel seçimlerde pek bir başarı gösteremeyen bu partiler arasında, 198</w:t>
      </w:r>
      <w:r w:rsidR="00960018" w:rsidRPr="00E97E0B">
        <w:rPr>
          <w:rFonts w:ascii="Times New Roman" w:eastAsia="Calibri" w:hAnsi="Times New Roman" w:cs="Times New Roman"/>
          <w:sz w:val="24"/>
          <w:szCs w:val="24"/>
        </w:rPr>
        <w:t>7</w:t>
      </w:r>
      <w:r w:rsidRPr="00E97E0B">
        <w:rPr>
          <w:rFonts w:ascii="Times New Roman" w:eastAsia="Calibri" w:hAnsi="Times New Roman" w:cs="Times New Roman"/>
          <w:sz w:val="24"/>
          <w:szCs w:val="24"/>
        </w:rPr>
        <w:t xml:space="preserve"> meclis seçimlerinde yalnızca DYP %10 barajını aşabilmiştir. ANAP, SHP ve DYP’nin meclise girebilmiş ve sırayla oyların %36,3</w:t>
      </w:r>
      <w:r w:rsidR="0096001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%24,</w:t>
      </w:r>
      <w:r w:rsidR="00960018" w:rsidRPr="00E97E0B">
        <w:rPr>
          <w:rFonts w:ascii="Times New Roman" w:eastAsia="Calibri" w:hAnsi="Times New Roman" w:cs="Times New Roman"/>
          <w:sz w:val="24"/>
          <w:szCs w:val="24"/>
        </w:rPr>
        <w:t>8</w:t>
      </w:r>
      <w:r w:rsidRPr="00E97E0B">
        <w:rPr>
          <w:rFonts w:ascii="Times New Roman" w:eastAsia="Calibri" w:hAnsi="Times New Roman" w:cs="Times New Roman"/>
          <w:sz w:val="24"/>
          <w:szCs w:val="24"/>
        </w:rPr>
        <w:t>, ve %19,1’</w:t>
      </w:r>
      <w:r w:rsidR="00960018" w:rsidRPr="00E97E0B">
        <w:rPr>
          <w:rFonts w:ascii="Times New Roman" w:eastAsia="Calibri" w:hAnsi="Times New Roman" w:cs="Times New Roman"/>
          <w:sz w:val="24"/>
          <w:szCs w:val="24"/>
        </w:rPr>
        <w:t>ini</w:t>
      </w:r>
      <w:r w:rsidRPr="00E97E0B">
        <w:rPr>
          <w:rFonts w:ascii="Times New Roman" w:eastAsia="Calibri" w:hAnsi="Times New Roman" w:cs="Times New Roman"/>
          <w:sz w:val="24"/>
          <w:szCs w:val="24"/>
        </w:rPr>
        <w:t xml:space="preserve"> alabilmişlerdir.</w:t>
      </w:r>
      <w:r w:rsidR="00C9444A" w:rsidRPr="00E97E0B">
        <w:rPr>
          <w:rStyle w:val="FootnoteReference"/>
          <w:rFonts w:ascii="Times New Roman" w:eastAsia="Calibri" w:hAnsi="Times New Roman" w:cs="Times New Roman"/>
          <w:sz w:val="24"/>
          <w:szCs w:val="24"/>
        </w:rPr>
        <w:footnoteReference w:id="221"/>
      </w:r>
      <w:r w:rsidRPr="00E97E0B">
        <w:rPr>
          <w:rFonts w:ascii="Times New Roman" w:eastAsia="Calibri" w:hAnsi="Times New Roman" w:cs="Times New Roman"/>
          <w:sz w:val="24"/>
          <w:szCs w:val="24"/>
        </w:rPr>
        <w:t xml:space="preserve"> Bu üç parti 1984 yerel seçimlerindeki en büyük oy oranına sahip aynı üç partidir. 1987’de SHP’nin oyu pek değişmemiş, ancak ANAP’ın oylarının önemli bir kısmı DYP’ye kaymıştır. Özal’ın siyasi yasakları desteklemesinin bu sonuçta payı olduğu söylenebilir. 1989 yerel seçiminde, merkez sol SHP birinci parti çıkmasına rağmen, belediyelerin çoğunluğu sağ partilerdedir ve aynı yıl içinde Evren’den sonra Özal cumhurbaşkanı olmuştur. 1990’da Mesut Yılmaz ANAP’ın başına geçmiş ve başbakan olmuştur. 1992’de yapılması gereken seçimler erkene alınınca DYP’nin birinci geldiği ve Demirel’in başbakan olduğu 1991 genel seçimleri yapılmıştır. Erbakan ve Ecevit’in %10’un altında kaldığı sonuçlara göre yine ilk üç parti DYP, ANAP ve SHP olmuştur. DYP merkez sağı, ANAP merkezi ve SHP de solu temsil etmiştir. Ayrıca RP dindar muhafazakâr sağı ve Ecevit de merkez solu temsil etmiştir. Özal’ın 1993’te görevde hayatını kaybetmesinin ardından Demirel cumhurbaşkanı olmuş ve DYP’nin başına da Tansu Çiller geçmiştir. Türkiye tarihinde göreve gelen ilk kadın başbakan, Çiller olmuştur. </w:t>
      </w:r>
    </w:p>
    <w:p w14:paraId="46DFC596" w14:textId="313CC87E"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Özal, temsil ettiği liberal sağ çizgide askeri ve sivil bürokrasiyle uyum içinde çalışmış ve Menderes ya da Erdoğan gibi onlarla bir güç mücadelesine girmemiştir. RP içinde özellikle ekonomi konusunda yaşanan ayrılıklar, yenilikçiler ve gelenekçiler bölünmesine neden olmuş, 1994 yerel seçimlerinde İstanbul ve Ankara’da RP adaylarının kazanılması bu yenilikçi kanadı güçlendirmiştir. RP’nin İstanbul Belediye başkanı olan Recep Tayyip Erdoğan, partide öne çıkan bir figür haline gelmiştir. 1995 seçimlerinde ANAP oyların %</w:t>
      </w:r>
      <w:r w:rsidR="00A07141" w:rsidRPr="00E97E0B">
        <w:rPr>
          <w:rFonts w:ascii="Times New Roman" w:eastAsia="Calibri" w:hAnsi="Times New Roman" w:cs="Times New Roman"/>
          <w:sz w:val="24"/>
          <w:szCs w:val="24"/>
        </w:rPr>
        <w:t>19,6</w:t>
      </w:r>
      <w:r w:rsidRPr="00E97E0B">
        <w:rPr>
          <w:rFonts w:ascii="Times New Roman" w:eastAsia="Calibri" w:hAnsi="Times New Roman" w:cs="Times New Roman"/>
          <w:sz w:val="24"/>
          <w:szCs w:val="24"/>
        </w:rPr>
        <w:t>'s</w:t>
      </w:r>
      <w:r w:rsidR="00A07141" w:rsidRPr="00E97E0B">
        <w:rPr>
          <w:rFonts w:ascii="Times New Roman" w:eastAsia="Calibri" w:hAnsi="Times New Roman" w:cs="Times New Roman"/>
          <w:sz w:val="24"/>
          <w:szCs w:val="24"/>
        </w:rPr>
        <w:t>ı</w:t>
      </w:r>
      <w:r w:rsidRPr="00E97E0B">
        <w:rPr>
          <w:rFonts w:ascii="Times New Roman" w:eastAsia="Calibri" w:hAnsi="Times New Roman" w:cs="Times New Roman"/>
          <w:sz w:val="24"/>
          <w:szCs w:val="24"/>
        </w:rPr>
        <w:t>n</w:t>
      </w:r>
      <w:r w:rsidR="00A07141" w:rsidRPr="00E97E0B">
        <w:rPr>
          <w:rFonts w:ascii="Times New Roman" w:eastAsia="Calibri" w:hAnsi="Times New Roman" w:cs="Times New Roman"/>
          <w:sz w:val="24"/>
          <w:szCs w:val="24"/>
        </w:rPr>
        <w:t>ı</w:t>
      </w:r>
      <w:r w:rsidRPr="00E97E0B">
        <w:rPr>
          <w:rFonts w:ascii="Times New Roman" w:eastAsia="Calibri" w:hAnsi="Times New Roman" w:cs="Times New Roman"/>
          <w:sz w:val="24"/>
          <w:szCs w:val="24"/>
        </w:rPr>
        <w:t>, DYP %19</w:t>
      </w:r>
      <w:r w:rsidR="00A07141" w:rsidRPr="00E97E0B">
        <w:rPr>
          <w:rFonts w:ascii="Times New Roman" w:eastAsia="Calibri" w:hAnsi="Times New Roman" w:cs="Times New Roman"/>
          <w:sz w:val="24"/>
          <w:szCs w:val="24"/>
        </w:rPr>
        <w:t>,2</w:t>
      </w:r>
      <w:r w:rsidRPr="00E97E0B">
        <w:rPr>
          <w:rFonts w:ascii="Times New Roman" w:eastAsia="Calibri" w:hAnsi="Times New Roman" w:cs="Times New Roman"/>
          <w:sz w:val="24"/>
          <w:szCs w:val="24"/>
        </w:rPr>
        <w:t>'</w:t>
      </w:r>
      <w:r w:rsidR="00A07141" w:rsidRPr="00E97E0B">
        <w:rPr>
          <w:rFonts w:ascii="Times New Roman" w:eastAsia="Calibri" w:hAnsi="Times New Roman" w:cs="Times New Roman"/>
          <w:sz w:val="24"/>
          <w:szCs w:val="24"/>
        </w:rPr>
        <w:t>sini</w:t>
      </w:r>
      <w:r w:rsidRPr="00E97E0B">
        <w:rPr>
          <w:rFonts w:ascii="Times New Roman" w:eastAsia="Calibri" w:hAnsi="Times New Roman" w:cs="Times New Roman"/>
          <w:sz w:val="24"/>
          <w:szCs w:val="24"/>
        </w:rPr>
        <w:t xml:space="preserve">, DSP % l4.6'sını, CHP %10.7'sini ve Refah Partisi oyların % 2l.4'ünü almıştır. Bu </w:t>
      </w:r>
      <w:r w:rsidRPr="00E97E0B">
        <w:rPr>
          <w:rFonts w:ascii="Times New Roman" w:eastAsia="Calibri" w:hAnsi="Times New Roman" w:cs="Times New Roman"/>
          <w:i/>
          <w:iCs/>
          <w:sz w:val="24"/>
          <w:szCs w:val="24"/>
        </w:rPr>
        <w:lastRenderedPageBreak/>
        <w:t>milli görüş</w:t>
      </w:r>
      <w:r w:rsidRPr="00E97E0B">
        <w:rPr>
          <w:rFonts w:ascii="Times New Roman" w:eastAsia="Calibri" w:hAnsi="Times New Roman" w:cs="Times New Roman"/>
          <w:sz w:val="24"/>
          <w:szCs w:val="24"/>
        </w:rPr>
        <w:t xml:space="preserve"> geleneğinin o döneme kadar aldığı en yüksek destek olmuştur. Ecevit’in DSP ile aldığı oy oranı da CHP’nin önüne geçmiştir. Ayrıca 1995 seçimlerine Kürt siyasal hareketi adına HEP’in devamı olan HADEP ilk defa tek başına girdiği seçimde %4</w:t>
      </w:r>
      <w:r w:rsidR="003004D4" w:rsidRPr="00E97E0B">
        <w:rPr>
          <w:rFonts w:ascii="Times New Roman" w:eastAsia="Calibri" w:hAnsi="Times New Roman" w:cs="Times New Roman"/>
          <w:sz w:val="24"/>
          <w:szCs w:val="24"/>
        </w:rPr>
        <w:t>,2</w:t>
      </w:r>
      <w:r w:rsidRPr="00E97E0B">
        <w:rPr>
          <w:rFonts w:ascii="Times New Roman" w:eastAsia="Calibri" w:hAnsi="Times New Roman" w:cs="Times New Roman"/>
          <w:sz w:val="24"/>
          <w:szCs w:val="24"/>
        </w:rPr>
        <w:t xml:space="preserve"> civarında bir oy almıştır.</w:t>
      </w:r>
      <w:r w:rsidR="003004D4" w:rsidRPr="00E97E0B">
        <w:rPr>
          <w:rStyle w:val="FootnoteReference"/>
          <w:rFonts w:ascii="Times New Roman" w:eastAsia="Calibri" w:hAnsi="Times New Roman" w:cs="Times New Roman"/>
          <w:sz w:val="24"/>
          <w:szCs w:val="24"/>
        </w:rPr>
        <w:footnoteReference w:id="222"/>
      </w:r>
      <w:r w:rsidRPr="00E97E0B">
        <w:rPr>
          <w:rFonts w:ascii="Times New Roman" w:eastAsia="Calibri" w:hAnsi="Times New Roman" w:cs="Times New Roman"/>
          <w:sz w:val="24"/>
          <w:szCs w:val="24"/>
        </w:rPr>
        <w:t xml:space="preserve"> </w:t>
      </w:r>
    </w:p>
    <w:p w14:paraId="11ABF572"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Erbakan’ın Çiller ile koalisyon kurup başbakan olduğu bu dönemde, 1996’da gerçekleşen Susurluk Vakası olarak bilinen devletin illegal yapılarla ilişkilerini ortaya çıkaran birtakım olaylar hükümete askeriyenin duyduğu güvensizliği artırmış ve 28 Şubat Muhtırası ile Erbakan istifaya zorlanmıştır. Erbakan istifaya zorlanıp 1997’de görevden ayrılınca, Demirel, başbakanlığı, mecliste birinci parti olan DYP başkanı Çiller yerine ANAP başkanı Yılmaz’a vermiştir. Böylece 1999’a kadar pek çok ANASOL hükümeti kurulup değişmiştir. 1990’lı yıllar boyunca pek çok hükümet kurulmuş ve siyasi istikrarsızlar, Susurluk Olayları, PKK’nın eylemleri ve Güneydoğu ve Doğu Anadolu’da pek çok şiddet olayı nedeniyle yer değiştirerek mağdur edilen ve yaşamını yitiren insanlar ve enflasyon gibi sorunlarla bilinen bir dönemdir. </w:t>
      </w:r>
    </w:p>
    <w:p w14:paraId="0CF3C3C0" w14:textId="5B5A6D3D"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1999’a gelindiğinde, genel seçimlerde oyların %22,</w:t>
      </w:r>
      <w:r w:rsidR="00A07141" w:rsidRPr="00E97E0B">
        <w:rPr>
          <w:rFonts w:ascii="Times New Roman" w:eastAsia="Calibri" w:hAnsi="Times New Roman" w:cs="Times New Roman"/>
          <w:sz w:val="24"/>
          <w:szCs w:val="24"/>
        </w:rPr>
        <w:t>2</w:t>
      </w:r>
      <w:r w:rsidRPr="00E97E0B">
        <w:rPr>
          <w:rFonts w:ascii="Times New Roman" w:eastAsia="Calibri" w:hAnsi="Times New Roman" w:cs="Times New Roman"/>
          <w:sz w:val="24"/>
          <w:szCs w:val="24"/>
        </w:rPr>
        <w:t>’</w:t>
      </w:r>
      <w:r w:rsidR="00A07141" w:rsidRPr="00E97E0B">
        <w:rPr>
          <w:rFonts w:ascii="Times New Roman" w:eastAsia="Calibri" w:hAnsi="Times New Roman" w:cs="Times New Roman"/>
          <w:sz w:val="24"/>
          <w:szCs w:val="24"/>
        </w:rPr>
        <w:t>s</w:t>
      </w:r>
      <w:r w:rsidRPr="00E97E0B">
        <w:rPr>
          <w:rFonts w:ascii="Times New Roman" w:eastAsia="Calibri" w:hAnsi="Times New Roman" w:cs="Times New Roman"/>
          <w:sz w:val="24"/>
          <w:szCs w:val="24"/>
        </w:rPr>
        <w:t>ini DSP, %1</w:t>
      </w:r>
      <w:r w:rsidR="00A07141" w:rsidRPr="00E97E0B">
        <w:rPr>
          <w:rFonts w:ascii="Times New Roman" w:eastAsia="Calibri" w:hAnsi="Times New Roman" w:cs="Times New Roman"/>
          <w:sz w:val="24"/>
          <w:szCs w:val="24"/>
        </w:rPr>
        <w:t>8</w:t>
      </w:r>
      <w:r w:rsidRPr="00E97E0B">
        <w:rPr>
          <w:rFonts w:ascii="Times New Roman" w:eastAsia="Calibri" w:hAnsi="Times New Roman" w:cs="Times New Roman"/>
          <w:sz w:val="24"/>
          <w:szCs w:val="24"/>
        </w:rPr>
        <w:t>’ini MHP, %15,41’ini RP’nin devamı olan Fazilet Partisi (FP), 1</w:t>
      </w:r>
      <w:r w:rsidR="00EA74C9" w:rsidRPr="00E97E0B">
        <w:rPr>
          <w:rFonts w:ascii="Times New Roman" w:eastAsia="Calibri" w:hAnsi="Times New Roman" w:cs="Times New Roman"/>
          <w:sz w:val="24"/>
          <w:szCs w:val="24"/>
        </w:rPr>
        <w:t>3</w:t>
      </w:r>
      <w:r w:rsidRPr="00E97E0B">
        <w:rPr>
          <w:rFonts w:ascii="Times New Roman" w:eastAsia="Calibri" w:hAnsi="Times New Roman" w:cs="Times New Roman"/>
          <w:sz w:val="24"/>
          <w:szCs w:val="24"/>
        </w:rPr>
        <w:t>,</w:t>
      </w:r>
      <w:r w:rsidR="00EA74C9" w:rsidRPr="00E97E0B">
        <w:rPr>
          <w:rFonts w:ascii="Times New Roman" w:eastAsia="Calibri" w:hAnsi="Times New Roman" w:cs="Times New Roman"/>
          <w:sz w:val="24"/>
          <w:szCs w:val="24"/>
        </w:rPr>
        <w:t>2</w:t>
      </w:r>
      <w:r w:rsidRPr="00E97E0B">
        <w:rPr>
          <w:rFonts w:ascii="Times New Roman" w:eastAsia="Calibri" w:hAnsi="Times New Roman" w:cs="Times New Roman"/>
          <w:sz w:val="24"/>
          <w:szCs w:val="24"/>
        </w:rPr>
        <w:t>’</w:t>
      </w:r>
      <w:r w:rsidR="00EA74C9" w:rsidRPr="00E97E0B">
        <w:rPr>
          <w:rFonts w:ascii="Times New Roman" w:eastAsia="Calibri" w:hAnsi="Times New Roman" w:cs="Times New Roman"/>
          <w:sz w:val="24"/>
          <w:szCs w:val="24"/>
        </w:rPr>
        <w:t>sini</w:t>
      </w:r>
      <w:r w:rsidRPr="00E97E0B">
        <w:rPr>
          <w:rFonts w:ascii="Times New Roman" w:eastAsia="Calibri" w:hAnsi="Times New Roman" w:cs="Times New Roman"/>
          <w:sz w:val="24"/>
          <w:szCs w:val="24"/>
        </w:rPr>
        <w:t xml:space="preserve"> ANAP, 1</w:t>
      </w:r>
      <w:r w:rsidR="00EA74C9" w:rsidRPr="00E97E0B">
        <w:rPr>
          <w:rFonts w:ascii="Times New Roman" w:eastAsia="Calibri" w:hAnsi="Times New Roman" w:cs="Times New Roman"/>
          <w:sz w:val="24"/>
          <w:szCs w:val="24"/>
        </w:rPr>
        <w:t>2</w:t>
      </w:r>
      <w:r w:rsidRPr="00E97E0B">
        <w:rPr>
          <w:rFonts w:ascii="Times New Roman" w:eastAsia="Calibri" w:hAnsi="Times New Roman" w:cs="Times New Roman"/>
          <w:sz w:val="24"/>
          <w:szCs w:val="24"/>
        </w:rPr>
        <w:t>’</w:t>
      </w:r>
      <w:r w:rsidR="00EA74C9" w:rsidRPr="00E97E0B">
        <w:rPr>
          <w:rFonts w:ascii="Times New Roman" w:eastAsia="Calibri" w:hAnsi="Times New Roman" w:cs="Times New Roman"/>
          <w:sz w:val="24"/>
          <w:szCs w:val="24"/>
        </w:rPr>
        <w:t>s</w:t>
      </w:r>
      <w:r w:rsidRPr="00E97E0B">
        <w:rPr>
          <w:rFonts w:ascii="Times New Roman" w:eastAsia="Calibri" w:hAnsi="Times New Roman" w:cs="Times New Roman"/>
          <w:sz w:val="24"/>
          <w:szCs w:val="24"/>
        </w:rPr>
        <w:t>ini DYP ve %8,7’</w:t>
      </w:r>
      <w:r w:rsidR="00EA74C9" w:rsidRPr="00E97E0B">
        <w:rPr>
          <w:rFonts w:ascii="Times New Roman" w:eastAsia="Calibri" w:hAnsi="Times New Roman" w:cs="Times New Roman"/>
          <w:sz w:val="24"/>
          <w:szCs w:val="24"/>
        </w:rPr>
        <w:t>s</w:t>
      </w:r>
      <w:r w:rsidRPr="00E97E0B">
        <w:rPr>
          <w:rFonts w:ascii="Times New Roman" w:eastAsia="Calibri" w:hAnsi="Times New Roman" w:cs="Times New Roman"/>
          <w:sz w:val="24"/>
          <w:szCs w:val="24"/>
        </w:rPr>
        <w:t>i</w:t>
      </w:r>
      <w:r w:rsidR="00EA74C9" w:rsidRPr="00E97E0B">
        <w:rPr>
          <w:rFonts w:ascii="Times New Roman" w:eastAsia="Calibri" w:hAnsi="Times New Roman" w:cs="Times New Roman"/>
          <w:sz w:val="24"/>
          <w:szCs w:val="24"/>
        </w:rPr>
        <w:t>ni</w:t>
      </w:r>
      <w:r w:rsidRPr="00E97E0B">
        <w:rPr>
          <w:rFonts w:ascii="Times New Roman" w:eastAsia="Calibri" w:hAnsi="Times New Roman" w:cs="Times New Roman"/>
          <w:sz w:val="24"/>
          <w:szCs w:val="24"/>
        </w:rPr>
        <w:t xml:space="preserve"> CHP almıştır.</w:t>
      </w:r>
      <w:r w:rsidR="00AC0F2C" w:rsidRPr="00E97E0B">
        <w:rPr>
          <w:rStyle w:val="FootnoteReference"/>
          <w:rFonts w:ascii="Times New Roman" w:eastAsia="Calibri" w:hAnsi="Times New Roman" w:cs="Times New Roman"/>
          <w:sz w:val="24"/>
          <w:szCs w:val="24"/>
        </w:rPr>
        <w:footnoteReference w:id="223"/>
      </w:r>
      <w:r w:rsidRPr="00E97E0B">
        <w:rPr>
          <w:rFonts w:ascii="Times New Roman" w:eastAsia="Calibri" w:hAnsi="Times New Roman" w:cs="Times New Roman"/>
          <w:sz w:val="24"/>
          <w:szCs w:val="24"/>
        </w:rPr>
        <w:t xml:space="preserve"> CHP barajın altında olduğundan meclise girememiştir. Bu dağılımın meclise yansıması Ecevit’i koalisyon kurmaya mecbur bırakmıştır. MHP ve ANAP’la koalisyon kurmayı tercih eden Ecevit’in bu döneminde, 17 Ağustos deprem felaketi, PKK lideri Abdullah Öcalan’ın yakalanması ve idam cezası almasının ardından gelişen süreçte idam cezasının kaldırılması, Demirel’in cumhurbaşkanlığının dolmasının ardından AYM başkanı Ahmet Necdet Sezer’in cumhurbaşkanı seçilmesi, AB’nin Helsinki Zirvesi’nden Türkiye’nin tam üyelik başvurusunun kabul edildiği kararının alınması, borç krizi, IMF’ye borçlanma, Sezer ile Ecevit arasındaki anlaşmazlıkların ardından tetiklenen ekonomik kriz, Kemal Derviş’in getirilerek yeni ekonomi programı ile göreli bir normalleşmenin sağlanması, AB konusunda DSP içinde ayrılıkların olması ve çok sayıda vekilin istifası ile hükümetin baskı altında kalması ve düşmesi öne çıkan </w:t>
      </w:r>
      <w:r w:rsidRPr="00E97E0B">
        <w:rPr>
          <w:rFonts w:ascii="Times New Roman" w:eastAsia="Calibri" w:hAnsi="Times New Roman" w:cs="Times New Roman"/>
          <w:sz w:val="24"/>
          <w:szCs w:val="24"/>
        </w:rPr>
        <w:lastRenderedPageBreak/>
        <w:t xml:space="preserve">olaylardır. Tüm bu gelişmeler, 1990’lı yıllar Ak Parti iktidarının ortaya çıkmasının koşullarını anlamak bakımından önemlidir. </w:t>
      </w:r>
    </w:p>
    <w:p w14:paraId="7EA94C1A"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Türkiye’de pek çok siyasi parti yasal kararla kapatılmıştır. Bu partilerden bazıları aynı siyasi çizgiyi takip eden ve anayasaya karşı eylemlerde bulunması gerekçesiyle kapatılan partilerdir. Kapatılan bu partiler, Milli Görüşü temsil etmiş olan Milli Nizam Partisi, MSP, RP, FP; Kürt hareketini temsil etmiş HEP, HADEP, DEHAP, DTP, BDP ve sosyalist devrim hedefiyle kurulan Sosyalist Türkiye Partisi, Sosyalist Birlik Partisi’dir. Bunların dışında siyasetin doğal seyrinde kendiliğinden kapanan partiler de mevcuttur. Çeşitli dönemlerde parti kapatılması sık rastlanan bir durum olmuştur. </w:t>
      </w:r>
    </w:p>
    <w:p w14:paraId="3FD979DB" w14:textId="4B6ACB71" w:rsidR="002858AE" w:rsidRPr="00E97E0B" w:rsidRDefault="00E93FD2" w:rsidP="002B7FA9">
      <w:pPr>
        <w:pStyle w:val="Heading3"/>
      </w:pPr>
      <w:bookmarkStart w:id="123" w:name="_Toc141133095"/>
      <w:r w:rsidRPr="00E97E0B">
        <w:t>3.</w:t>
      </w:r>
      <w:r w:rsidR="002B7FA9" w:rsidRPr="00E97E0B">
        <w:t>4.</w:t>
      </w:r>
      <w:r w:rsidRPr="00E97E0B">
        <w:t>6.</w:t>
      </w:r>
      <w:r w:rsidR="0067740E" w:rsidRPr="00E97E0B">
        <w:t xml:space="preserve"> </w:t>
      </w:r>
      <w:r w:rsidR="002858AE" w:rsidRPr="00E97E0B">
        <w:t>2000’li Yıllar ve Sonrası</w:t>
      </w:r>
      <w:bookmarkEnd w:id="123"/>
    </w:p>
    <w:p w14:paraId="15249C81" w14:textId="493CF040"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Recep Tayyip Erdoğan’ın kurucu lideri olduğu ana çekirdeğini merkez sağ ve milli görüşün yenilikçi kanadının oluşturduğu geniş bir siyasi yelpazeden oluşan ve 2001 yılında kurulan Ak Parti’nin de girdiği 3 Kasım 2002 seçimlerinde, Ak Parti birinci parti olarak %34,</w:t>
      </w:r>
      <w:r w:rsidR="00BF211B" w:rsidRPr="00E97E0B">
        <w:rPr>
          <w:rFonts w:ascii="Times New Roman" w:eastAsia="Calibri" w:hAnsi="Times New Roman" w:cs="Times New Roman"/>
          <w:sz w:val="24"/>
          <w:szCs w:val="24"/>
        </w:rPr>
        <w:t>3</w:t>
      </w:r>
      <w:r w:rsidRPr="00E97E0B">
        <w:rPr>
          <w:rFonts w:ascii="Times New Roman" w:eastAsia="Calibri" w:hAnsi="Times New Roman" w:cs="Times New Roman"/>
          <w:sz w:val="24"/>
          <w:szCs w:val="24"/>
        </w:rPr>
        <w:t xml:space="preserve"> oy oranıyla barajı geçen iki partiden biri olmuş ve tek başına iktidar olmuştur. CHP ise %19,4 ile ikinci parti olarak ana muhalefet partisi olmuştur.</w:t>
      </w:r>
      <w:r w:rsidR="00BF211B" w:rsidRPr="00E97E0B">
        <w:rPr>
          <w:rStyle w:val="FootnoteReference"/>
          <w:rFonts w:ascii="Times New Roman" w:eastAsia="Calibri" w:hAnsi="Times New Roman" w:cs="Times New Roman"/>
          <w:sz w:val="24"/>
          <w:szCs w:val="24"/>
        </w:rPr>
        <w:footnoteReference w:id="224"/>
      </w:r>
      <w:r w:rsidRPr="00E97E0B">
        <w:rPr>
          <w:rFonts w:ascii="Times New Roman" w:eastAsia="Calibri" w:hAnsi="Times New Roman" w:cs="Times New Roman"/>
          <w:sz w:val="24"/>
          <w:szCs w:val="24"/>
        </w:rPr>
        <w:t xml:space="preserve"> Bundan sonra Türkiye tek başına iktidar olan bir yönetim tarafından kesintisiz olarak uzun dönem idare edilmiştir. Bu dönemde öne çıkan IMF’ye borçlanma, koalisyon krizleri, yolsuzluklar, derin devlet tartışmalarının bilinen partilerden seçmeni uzaklaştırıp yeni bir oluşum beklentisi içinde olduğu görülmektedir.</w:t>
      </w:r>
      <w:r w:rsidRPr="00E97E0B">
        <w:rPr>
          <w:rFonts w:ascii="Times New Roman" w:eastAsia="Calibri" w:hAnsi="Times New Roman" w:cs="Times New Roman"/>
          <w:sz w:val="24"/>
          <w:szCs w:val="24"/>
          <w:vertAlign w:val="superscript"/>
        </w:rPr>
        <w:footnoteReference w:id="225"/>
      </w:r>
      <w:r w:rsidRPr="00E97E0B">
        <w:rPr>
          <w:rFonts w:ascii="Times New Roman" w:eastAsia="Calibri" w:hAnsi="Times New Roman" w:cs="Times New Roman"/>
          <w:sz w:val="24"/>
          <w:szCs w:val="24"/>
        </w:rPr>
        <w:t xml:space="preserve"> </w:t>
      </w:r>
    </w:p>
    <w:p w14:paraId="3894C174" w14:textId="26D4EB93"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Ak Parti’nin iktidara geldiği süreçte liberal muhafazakâr, merkez sağ bir parti konumda olup istikrar vurgusunu eksik etmemesi oldukça önemlidir. Bir diğer nokta Erdoğan’ın özellikle ilk dönemlerinde yapacağı projelerden bahsetmeye ve tek başına iktidar olmanın hızlı karar alınmasını sağladığı mesajına odaklanmasıdır. “Beraber Yürüdük Biz Bu Yollarda</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“Adalet İçin, İstikrar İçin, Kalkınma İçin Türkiye İçin Tek Başına İş Başına</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“Her şey Türkiye için</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“Söz Veriyoruz Birlikte Başaracağız</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“Yakın Işıkları Yasaklar Kalksın” Hayaldi Gerçek Oldu</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lastRenderedPageBreak/>
        <w:t>“İşimiz Hizmet Gücümüz Millet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“Eşit Hizmet İçin Geliyoruz, “Türkiye hazır hedef 2023” ,“Türkiye Her Yerde</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‘Türkiye Eğilmez Millet Yenilmez,</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“Yeni Türkiye Yolunda Daima İleri” gibi sloganlar 2015’e kadar en yaygın kullanılan sloganlardan bazılarıdır.</w:t>
      </w:r>
      <w:r w:rsidRPr="00E97E0B">
        <w:rPr>
          <w:rFonts w:ascii="Times New Roman" w:eastAsia="Calibri" w:hAnsi="Times New Roman" w:cs="Times New Roman"/>
          <w:sz w:val="24"/>
          <w:szCs w:val="24"/>
          <w:vertAlign w:val="superscript"/>
        </w:rPr>
        <w:footnoteReference w:id="226"/>
      </w:r>
      <w:r w:rsidRPr="00E97E0B">
        <w:rPr>
          <w:rFonts w:ascii="Times New Roman" w:eastAsia="Calibri" w:hAnsi="Times New Roman" w:cs="Times New Roman"/>
          <w:sz w:val="24"/>
          <w:szCs w:val="24"/>
        </w:rPr>
        <w:t xml:space="preserve"> Bu söylem,  2015 sonrası siyasal söylemin ana unsuru olacak “Yerli ve Milli” sloganının kullanıma girmesinden önceki döneme dahildir. Bu ilk dönemde, Erdoğan ve Ak Parti, söylem ve sloganları bazı belirgin özellikleri olduğu görülmektedir. Söylem ve sloganlardaki, birliktelik vurgusu bunlardan biridir. Ak Parti söylemlerinde sıklıkla birlikteliğe işaret etmektedir. </w:t>
      </w:r>
      <w:r w:rsidRPr="00E97E0B">
        <w:rPr>
          <w:rFonts w:ascii="Times New Roman" w:eastAsia="Calibri" w:hAnsi="Times New Roman" w:cs="Times New Roman"/>
          <w:i/>
          <w:iCs/>
          <w:sz w:val="24"/>
          <w:szCs w:val="24"/>
        </w:rPr>
        <w:t>Birliktelik</w:t>
      </w:r>
      <w:r w:rsidRPr="00E97E0B">
        <w:rPr>
          <w:rFonts w:ascii="Times New Roman" w:eastAsia="Calibri" w:hAnsi="Times New Roman" w:cs="Times New Roman"/>
          <w:sz w:val="24"/>
          <w:szCs w:val="24"/>
        </w:rPr>
        <w:t xml:space="preserve"> vurgusu, hitap ettiği kitleye gerçekte onlarla siyaset yapıldığı mesajını vermekte, kitlesiyle aynı olma ve bir bütünün yalnızca parçası olma mesajını vermektedir. Bu, kitleyle özdeşim kurmayı içeren bir stratejidir. </w:t>
      </w:r>
      <w:r w:rsidRPr="00E97E0B">
        <w:rPr>
          <w:rFonts w:ascii="Times New Roman" w:eastAsia="Calibri" w:hAnsi="Times New Roman" w:cs="Times New Roman"/>
          <w:i/>
          <w:iCs/>
          <w:sz w:val="24"/>
          <w:szCs w:val="24"/>
        </w:rPr>
        <w:t>İstikrar</w:t>
      </w:r>
      <w:r w:rsidRPr="00E97E0B">
        <w:rPr>
          <w:rFonts w:ascii="Times New Roman" w:eastAsia="Calibri" w:hAnsi="Times New Roman" w:cs="Times New Roman"/>
          <w:sz w:val="24"/>
          <w:szCs w:val="24"/>
        </w:rPr>
        <w:t xml:space="preserve"> vurgusu, bir diğer öne çıkan unsurdur, ancak istikrarın hızlı ve bürokratik süreçleri es geçerek, tartışmadan doğrudan işe koyulmakla mümkün olduğu ve bunun için de tek yetkili olması gerektiği vurgusu vardır. İstikrar vurgusunda, demokratik işlerliğin temel hedefi olan, denge ve denetim mekanizmalarını gereksiz, hantallaştırıcı, atıllaştırıcı görmeyi de beraberinde getirecek bir argüman niteliğindedir. Bu düşünce, hizmetin anında karar alarak yapılmasının doğru olduğu, uzlaşıyla ve iyi planlanmış bir hizmetin aksadığı, tek kişinin maharetine bağlı ve kararlılıkla yapmanın mümkün olduğu yargısını içermektedir. </w:t>
      </w:r>
      <w:r w:rsidRPr="00E97E0B">
        <w:rPr>
          <w:rFonts w:ascii="Times New Roman" w:eastAsia="Calibri" w:hAnsi="Times New Roman" w:cs="Times New Roman"/>
          <w:i/>
          <w:iCs/>
          <w:sz w:val="24"/>
          <w:szCs w:val="24"/>
        </w:rPr>
        <w:t>Millet iradesi</w:t>
      </w:r>
      <w:r w:rsidRPr="00E97E0B">
        <w:rPr>
          <w:rFonts w:ascii="Times New Roman" w:eastAsia="Calibri" w:hAnsi="Times New Roman" w:cs="Times New Roman"/>
          <w:sz w:val="24"/>
          <w:szCs w:val="24"/>
        </w:rPr>
        <w:t xml:space="preserve"> vurgusu da konuşmalarda ön plana çıkmaktadır. Millet iradesi vurgusu ile, hem kendi seçmen kitlesine hem de diğer gruplara bir meşruiyet kaynağı oluşturmaktadır. Kendi seçmen kitlesi, eskiden siyasilerin onlardan kopuk olduğu kanısında olduğundan, Erdoğan, burada “biz sizinle bütünleşmiş bir haldeyiz ve sizin iradenizi temsil ediyoruz” mesajı vermekte olup, ona oy vermeyen kitleye de “biz çoğunluğun iradesini temsil ediyoruz bize karşı gelmeyin” mesajını vermektedir. Bu nedenle, seçim sonuçları önemli bir meşruiyet kaynağı olarak görülmektedir. </w:t>
      </w:r>
      <w:r w:rsidRPr="00E97E0B">
        <w:rPr>
          <w:rFonts w:ascii="Times New Roman" w:eastAsia="Calibri" w:hAnsi="Times New Roman" w:cs="Times New Roman"/>
          <w:i/>
          <w:iCs/>
          <w:sz w:val="24"/>
          <w:szCs w:val="24"/>
        </w:rPr>
        <w:t>Proje</w:t>
      </w:r>
      <w:r w:rsidRPr="00E97E0B">
        <w:rPr>
          <w:rFonts w:ascii="Times New Roman" w:eastAsia="Calibri" w:hAnsi="Times New Roman" w:cs="Times New Roman"/>
          <w:sz w:val="24"/>
          <w:szCs w:val="24"/>
        </w:rPr>
        <w:t xml:space="preserve"> vurgusu bir diğer önemli söylemsel unsurdur. Erdoğan bu dönemde sürekli yapmış olduğu ve yapacak olduğu projeleri anlatıp halkın önceki koalisyon dönemlerinde yapamadığı bir eksikliği kapattığını seçmene hissettirmektedir. Proje vurgusu, aynı zamanda kararlılık ve maharet göstergesi olması bakımından önemlidir. </w:t>
      </w:r>
      <w:r w:rsidRPr="00E97E0B">
        <w:rPr>
          <w:rFonts w:ascii="Times New Roman" w:eastAsia="Calibri" w:hAnsi="Times New Roman" w:cs="Times New Roman"/>
          <w:i/>
          <w:iCs/>
          <w:sz w:val="24"/>
          <w:szCs w:val="24"/>
        </w:rPr>
        <w:t>Dik durmak</w:t>
      </w:r>
      <w:r w:rsidRPr="00E97E0B">
        <w:rPr>
          <w:rFonts w:ascii="Times New Roman" w:eastAsia="Calibri" w:hAnsi="Times New Roman" w:cs="Times New Roman"/>
          <w:sz w:val="24"/>
          <w:szCs w:val="24"/>
        </w:rPr>
        <w:t xml:space="preserve"> vurgusuna da söylemlerinde </w:t>
      </w:r>
      <w:r w:rsidRPr="00E97E0B">
        <w:rPr>
          <w:rFonts w:ascii="Times New Roman" w:eastAsia="Calibri" w:hAnsi="Times New Roman" w:cs="Times New Roman"/>
          <w:sz w:val="24"/>
          <w:szCs w:val="24"/>
        </w:rPr>
        <w:lastRenderedPageBreak/>
        <w:t>sıklıkla karşılaşılmaktadır. Bu vurgu, toplumda güçlü ve kararlı olmak ve güven vermek isteyen bir liderde en çok aranacak özelliklerden biri olarak kabul görebilir.</w:t>
      </w:r>
      <w:r w:rsidRPr="00E97E0B">
        <w:rPr>
          <w:rFonts w:ascii="Times New Roman" w:eastAsia="Calibri" w:hAnsi="Times New Roman" w:cs="Times New Roman"/>
          <w:sz w:val="24"/>
          <w:szCs w:val="24"/>
          <w:vertAlign w:val="superscript"/>
        </w:rPr>
        <w:footnoteReference w:id="227"/>
      </w:r>
      <w:r w:rsidRPr="00E97E0B">
        <w:rPr>
          <w:rFonts w:ascii="Times New Roman" w:eastAsia="Calibri" w:hAnsi="Times New Roman" w:cs="Times New Roman"/>
          <w:sz w:val="24"/>
          <w:szCs w:val="24"/>
        </w:rPr>
        <w:t xml:space="preserve"> Özellikle geçmişte askeri müdahalelerin siyasetçilerin sürekli engellendiği kanısının yaygın olması, bu eksikliği de doldurmak bakımından önemli bir söylem stratejisidir.</w:t>
      </w:r>
    </w:p>
    <w:p w14:paraId="3DCE48A5"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Ülke ekonomisi de bu gelişmelerle paralel giderek 2002-2007 yıllarında hareketlenmiş, Derviş’in de “Güçlü Ekonomiye Geçiş Programı” kapsamında IMF ile de uyumlu çalışılan bu dönemde, genel dünya ekonomisinin olumlu seyri takip edilmiştir.</w:t>
      </w:r>
      <w:r w:rsidRPr="00E97E0B">
        <w:rPr>
          <w:rFonts w:ascii="Times New Roman" w:eastAsia="Calibri" w:hAnsi="Times New Roman" w:cs="Times New Roman"/>
          <w:sz w:val="24"/>
          <w:szCs w:val="24"/>
          <w:vertAlign w:val="superscript"/>
        </w:rPr>
        <w:footnoteReference w:id="228"/>
      </w:r>
      <w:r w:rsidRPr="00E97E0B">
        <w:rPr>
          <w:rFonts w:ascii="Times New Roman" w:eastAsia="Calibri" w:hAnsi="Times New Roman" w:cs="Times New Roman"/>
          <w:sz w:val="24"/>
          <w:szCs w:val="24"/>
        </w:rPr>
        <w:t xml:space="preserve"> Diğer yandan, yol, köprü, tren yolu, havaalanı, okul, hastane, tarihi yapıların restorasyonu, müze ve park alanı gibi pek çok altyapı projeleri, pek çok sosyal hizmet ve yardımlar bu dönemde gerçekleşmiş, yabancı yatırımı çekme konusunda başarılı olunmuş, ülkede iyimser bir hava oluşmuştur. Ak Parti’ye kapatma davası açılması, 27 Nisan 2007 Muhtırası ve Ak Parti’den gelen Abdullah Gül’ün cumhurbaşkanı seçilmesi, sağlık ve eğitimle ilgili reformlar, başörtüsünün devlet kurumlarında serbest bırakma, Kıbrıs Meselesi’yle ilgili Annan Planı’na destek vermek, AB üyeliğine yönelik reformlar ve Kürt Meselesi’nin çözümüne yönelik adımlar, 2012’ye kadarki olay ve icraatlardır. 2007’deki cumhurbaşkanını halkın seçmesine yönelik anayasa değişikliğiyle başlayıp 2017’deki yeni anayasa referandumuna kadar geçen süreçte, Türkiye için parlamenter sistemden başkanlık sistemine giden bir süreç devam etmiştir. Bununla birlikte, incelenen dönemde bu başlıkta özellikleri açıklanmış olan başbakanın hükümetin başı olduğu parlamenter sistem devam etmiştir.</w:t>
      </w:r>
    </w:p>
    <w:p w14:paraId="171E40A6" w14:textId="3AF1FA39" w:rsidR="009C42C4" w:rsidRPr="00E97E0B" w:rsidRDefault="009C42C4" w:rsidP="009C42C4">
      <w:pPr>
        <w:tabs>
          <w:tab w:val="left" w:pos="142"/>
        </w:tabs>
        <w:spacing w:before="120" w:after="120" w:line="360" w:lineRule="auto"/>
        <w:ind w:right="4"/>
        <w:jc w:val="both"/>
        <w:rPr>
          <w:rFonts w:ascii="Times New Roman" w:eastAsia="Calibri" w:hAnsi="Times New Roman" w:cs="Times New Roman"/>
        </w:rPr>
      </w:pPr>
      <w:r w:rsidRPr="00E97E0B">
        <w:rPr>
          <w:rFonts w:ascii="Times New Roman" w:eastAsia="Calibri" w:hAnsi="Times New Roman" w:cs="Times New Roman"/>
        </w:rPr>
        <w:tab/>
      </w:r>
      <w:r w:rsidRPr="00E97E0B">
        <w:rPr>
          <w:rFonts w:ascii="Times New Roman" w:eastAsia="Calibri" w:hAnsi="Times New Roman" w:cs="Times New Roman"/>
        </w:rPr>
        <w:tab/>
        <w:t xml:space="preserve">Türkiye ve Fransa’nın liderlerinin ülke içinde mevcut dış gruplarına yönelik söylemlerinin ele alındığı çalışmada, demokratik kültür açısından en eski ülkelerden biri olan Fransa ile demokratik sistemin görece geç bir dönemde sistematik hale gelebildiği Türkiye’deki sağ iktidarların ötekini tanımlama ve konumlandırmada göstereceği benzerlik ve farklılıklara odaklanılmıştır. </w:t>
      </w:r>
    </w:p>
    <w:p w14:paraId="7EA2D9C5" w14:textId="65A316BB" w:rsidR="009C42C4" w:rsidRPr="00E97E0B" w:rsidRDefault="009C42C4" w:rsidP="009C42C4">
      <w:pPr>
        <w:tabs>
          <w:tab w:val="left" w:pos="142"/>
        </w:tabs>
        <w:spacing w:before="120" w:after="120" w:line="360" w:lineRule="auto"/>
        <w:ind w:right="4"/>
        <w:jc w:val="both"/>
        <w:rPr>
          <w:rFonts w:ascii="Times New Roman" w:eastAsia="Calibri" w:hAnsi="Times New Roman" w:cs="Times New Roman"/>
        </w:rPr>
      </w:pPr>
      <w:r w:rsidRPr="00E97E0B">
        <w:rPr>
          <w:rFonts w:ascii="Times New Roman" w:eastAsia="Calibri" w:hAnsi="Times New Roman" w:cs="Times New Roman"/>
        </w:rPr>
        <w:tab/>
      </w:r>
      <w:r w:rsidRPr="00E97E0B">
        <w:rPr>
          <w:rFonts w:ascii="Times New Roman" w:eastAsia="Calibri" w:hAnsi="Times New Roman" w:cs="Times New Roman"/>
        </w:rPr>
        <w:tab/>
        <w:t>Bu bölümde incelendiği üzere, her iki ülkenin her iki ülkenin siyasi hayatına dair değinilen özelliklerinin liderlerin içlerinde bulundukları bağlamı ve ülkelerinin toplumsal arka planını anlamak bakımından yararlı olduğu görülmektedir. Erdoğan sağ ve dindar-</w:t>
      </w:r>
      <w:r w:rsidRPr="00E97E0B">
        <w:rPr>
          <w:rFonts w:ascii="Times New Roman" w:eastAsia="Calibri" w:hAnsi="Times New Roman" w:cs="Times New Roman"/>
        </w:rPr>
        <w:lastRenderedPageBreak/>
        <w:t>muhafazakâr bir gelenekten gelen bir siyasi lider olarak iktidarının güç kazandığı bir dönemde iken, Sarkozy de sağ ve De Gaule’cü bir geleneği temsil eden ve sağ iktidarın yükselişte olduğu bir dönemdedir. Her ikisinin de iktidarda olduğu bir dönemde pek çok kurumsal ve yapısal farklılığın ele alınan iki ülkede ne denli benzeştikleri ve farklılaştıkları çalışmanın odağını oluşturmuştur. Söylemleri incelenen Erdoğan ve Sarkozy’nin ülkelerinde var olan siyasi iklimin anlaşılması, onların hangi toplumsal gruplara hangi meseleler üzerinden seslendiklerini de kavramaya yardımcı olması umulmaktadır.</w:t>
      </w:r>
    </w:p>
    <w:p w14:paraId="214FA338" w14:textId="77777777" w:rsidR="006A073C" w:rsidRDefault="006A073C" w:rsidP="00ED4B64">
      <w:pPr>
        <w:keepNext/>
        <w:keepLines/>
        <w:spacing w:before="1800" w:after="360" w:line="360" w:lineRule="auto"/>
        <w:jc w:val="center"/>
        <w:outlineLvl w:val="0"/>
        <w:rPr>
          <w:rFonts w:ascii="Times New Roman" w:eastAsia="Times New Roman" w:hAnsi="Times New Roman" w:cs="Times New Roman"/>
          <w:b/>
          <w:color w:val="000000"/>
          <w:sz w:val="28"/>
          <w:szCs w:val="32"/>
        </w:rPr>
        <w:sectPr w:rsidR="006A073C" w:rsidSect="00575F63">
          <w:pgSz w:w="11906" w:h="16838"/>
          <w:pgMar w:top="1418" w:right="1701" w:bottom="1418" w:left="2268" w:header="720" w:footer="720" w:gutter="0"/>
          <w:cols w:space="720"/>
          <w:docGrid w:linePitch="360"/>
        </w:sectPr>
      </w:pPr>
    </w:p>
    <w:p w14:paraId="750A3F72" w14:textId="7DCC4A69" w:rsidR="002858AE" w:rsidRPr="00E97E0B" w:rsidRDefault="002858AE" w:rsidP="00ED4B64">
      <w:pPr>
        <w:keepNext/>
        <w:keepLines/>
        <w:spacing w:before="1800" w:after="360" w:line="360" w:lineRule="auto"/>
        <w:jc w:val="center"/>
        <w:outlineLvl w:val="0"/>
        <w:rPr>
          <w:rFonts w:ascii="Times New Roman" w:eastAsia="Times New Roman" w:hAnsi="Times New Roman" w:cs="Times New Roman"/>
          <w:b/>
          <w:color w:val="000000"/>
          <w:sz w:val="28"/>
          <w:szCs w:val="32"/>
        </w:rPr>
      </w:pPr>
      <w:bookmarkStart w:id="124" w:name="_Toc141133096"/>
      <w:r w:rsidRPr="00E97E0B">
        <w:rPr>
          <w:rFonts w:ascii="Times New Roman" w:eastAsia="Times New Roman" w:hAnsi="Times New Roman" w:cs="Times New Roman"/>
          <w:b/>
          <w:color w:val="000000"/>
          <w:sz w:val="28"/>
          <w:szCs w:val="32"/>
        </w:rPr>
        <w:lastRenderedPageBreak/>
        <w:t>BÖLÜM 4</w:t>
      </w:r>
      <w:bookmarkEnd w:id="124"/>
    </w:p>
    <w:p w14:paraId="2530E177" w14:textId="77777777" w:rsidR="002858AE" w:rsidRPr="00E97E0B" w:rsidRDefault="002858AE" w:rsidP="00ED4B64">
      <w:pPr>
        <w:keepNext/>
        <w:keepLines/>
        <w:spacing w:before="240" w:after="360" w:line="360" w:lineRule="auto"/>
        <w:jc w:val="center"/>
        <w:outlineLvl w:val="0"/>
        <w:rPr>
          <w:rFonts w:ascii="Times New Roman" w:eastAsia="Times New Roman" w:hAnsi="Times New Roman" w:cs="Times New Roman"/>
          <w:b/>
          <w:color w:val="000000"/>
          <w:sz w:val="28"/>
          <w:szCs w:val="32"/>
        </w:rPr>
      </w:pPr>
      <w:bookmarkStart w:id="125" w:name="_Toc141133097"/>
      <w:r w:rsidRPr="00E97E0B">
        <w:rPr>
          <w:rFonts w:ascii="Times New Roman" w:eastAsia="Times New Roman" w:hAnsi="Times New Roman" w:cs="Times New Roman"/>
          <w:b/>
          <w:color w:val="000000"/>
          <w:sz w:val="28"/>
          <w:szCs w:val="32"/>
        </w:rPr>
        <w:t>NICOLAS SARKOZY’NİN 2007-2012 YILARI ARASINDAKİ SÖYLEMLERİNDEKİ ÜLKE İÇİ ETNİK KÜLTÜREL VE SİYASİ ÖTEKİNİN ANALİZİ</w:t>
      </w:r>
      <w:bookmarkEnd w:id="125"/>
    </w:p>
    <w:p w14:paraId="5F465F2E" w14:textId="5F876381" w:rsidR="002858AE" w:rsidRPr="00E97E0B" w:rsidRDefault="002858AE" w:rsidP="0067740E">
      <w:pPr>
        <w:pStyle w:val="Heading2"/>
      </w:pPr>
      <w:bookmarkStart w:id="126" w:name="_Toc141133098"/>
      <w:r w:rsidRPr="00E97E0B">
        <w:t>4.</w:t>
      </w:r>
      <w:r w:rsidR="00140704" w:rsidRPr="00E97E0B">
        <w:t>1</w:t>
      </w:r>
      <w:r w:rsidRPr="00E97E0B">
        <w:t>. Nicolas Sarkozy (2007-2012)</w:t>
      </w:r>
      <w:bookmarkEnd w:id="126"/>
    </w:p>
    <w:p w14:paraId="29BE5675"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w:eastAsia="Calibri" w:hAnsi="Times" w:cs="Times New Roman"/>
          <w:sz w:val="24"/>
          <w:szCs w:val="24"/>
        </w:rPr>
        <w:t>Nicolas Sarkozy 2007 cumhurbaşkanlığı seçimlerini Sosyalist Parti (PS) adayı Ségolène Royal’i ikinci turda %46,94 oya karşı %53,06 oyla mağlup ederek kazanmıştır.</w:t>
      </w:r>
      <w:r w:rsidRPr="00E97E0B">
        <w:rPr>
          <w:rFonts w:ascii="Times" w:eastAsia="Calibri" w:hAnsi="Times" w:cs="Times New Roman"/>
          <w:sz w:val="24"/>
          <w:szCs w:val="24"/>
          <w:vertAlign w:val="superscript"/>
        </w:rPr>
        <w:footnoteReference w:id="229"/>
      </w:r>
      <w:r w:rsidRPr="00E97E0B">
        <w:rPr>
          <w:rFonts w:ascii="Times" w:eastAsia="Calibri" w:hAnsi="Times" w:cs="Times New Roman"/>
          <w:sz w:val="24"/>
          <w:szCs w:val="24"/>
        </w:rPr>
        <w:t xml:space="preserve"> Seçimdeki en önemli başarılardan bir tanesi Sarkozy’nin aşırı sağcı ve 2018’den sonraki adı Ulusal Birlik (RN) olan Le Penci Ulusal Cephe (FN) partisinin oylarının belli bir kısmını cezbetme kapasitesinde yatmaktadır.</w:t>
      </w:r>
      <w:r w:rsidRPr="00E97E0B">
        <w:rPr>
          <w:rFonts w:ascii="Times" w:eastAsia="Calibri" w:hAnsi="Times" w:cs="Times New Roman"/>
          <w:sz w:val="24"/>
          <w:szCs w:val="24"/>
          <w:vertAlign w:val="superscript"/>
        </w:rPr>
        <w:footnoteReference w:id="230"/>
      </w:r>
      <w:r w:rsidRPr="00E97E0B">
        <w:rPr>
          <w:rFonts w:ascii="Times" w:eastAsia="Calibri" w:hAnsi="Times" w:cs="Times New Roman"/>
          <w:sz w:val="24"/>
          <w:szCs w:val="24"/>
        </w:rPr>
        <w:t xml:space="preserve"> Bununla birlikte, Halk Hareketi için Birlik Partisi’nin (UMP) önceki seçimlerdeki seçmeninin önemli bir kısmını elinde tutmayı başarmıştır. Fransa’da siyasi aksın geleneksel sağında tanımlanan UMP ve başkanı (2007) Sarkozy, 2007 seçimlerini kazanarak iktidara gelmiştir. Fransa, 21. Yüzyılın başından beri cumhurbaşkanlığının ikinci turunda üç kere Sağ ve Aşırı Sağ, iki kere de Sağ ve Sol siyasetin temsilcileri arasında seçim yapmıştır.</w:t>
      </w:r>
    </w:p>
    <w:p w14:paraId="06078BD1" w14:textId="0B5F3359" w:rsidR="002858AE" w:rsidRPr="00E97E0B" w:rsidRDefault="002858AE" w:rsidP="0019121A">
      <w:pPr>
        <w:pStyle w:val="Heading2"/>
      </w:pPr>
      <w:bookmarkStart w:id="128" w:name="_Toc141133099"/>
      <w:r w:rsidRPr="00E97E0B">
        <w:t>4.</w:t>
      </w:r>
      <w:r w:rsidR="008F6C47" w:rsidRPr="00E97E0B">
        <w:t>2</w:t>
      </w:r>
      <w:r w:rsidR="0019121A" w:rsidRPr="00E97E0B">
        <w:t>.</w:t>
      </w:r>
      <w:r w:rsidRPr="00E97E0B">
        <w:t xml:space="preserve"> </w:t>
      </w:r>
      <w:r w:rsidR="00A663CD" w:rsidRPr="00E97E0B">
        <w:t xml:space="preserve">Öteki Olarak </w:t>
      </w:r>
      <w:r w:rsidR="002B7FA9" w:rsidRPr="00E97E0B">
        <w:t xml:space="preserve">Etnik ve </w:t>
      </w:r>
      <w:r w:rsidRPr="00E97E0B">
        <w:t>Toplumsal Kimlikler</w:t>
      </w:r>
      <w:bookmarkEnd w:id="128"/>
    </w:p>
    <w:p w14:paraId="6A8B851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Fransa’da geniş bir yelpazde sayıca oldukça fazla etnik kimlik yer almakla birlikte içlerinde en fazla siyasallaşanlardan öne çıkanlar Kuzey Afrika kökenli Müslümanlar, Sahraaltı Afrika kökenliler, Asyalılar, Yahudiler, Roman ve Göçmen topluluklarıdır. </w:t>
      </w:r>
    </w:p>
    <w:p w14:paraId="057D13EE"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Sarkozy’nin toplumsal kimliklerle ilgili söylemlerinin değerlendirilmesinden öncesinde toplumsal kimlikleri ifade eden çeşitlilik kelimesinin ne zamandan beri kullanılmaya başlandığına değinilmesinin gerekli olduğu düşünülmektedir. Sarkozy’ninbaşkanlığının başladığı dönemlerde politik dilde çeşitlilik sözcüğü yeni yeni yer edinmekteydi ve üstelik çeşitlilik kelimesi cinsiyet kategorilerinin aksine etnik ve ırksal kategorileri için hukuk sistemi tarafından kabul edilmiyordu.</w:t>
      </w:r>
      <w:r w:rsidRPr="00E97E0B">
        <w:rPr>
          <w:rFonts w:ascii="Times" w:eastAsia="Calibri" w:hAnsi="Times" w:cs="Times New Roman"/>
          <w:sz w:val="24"/>
          <w:szCs w:val="24"/>
          <w:vertAlign w:val="superscript"/>
        </w:rPr>
        <w:footnoteReference w:id="231"/>
      </w:r>
      <w:r w:rsidRPr="00E97E0B">
        <w:rPr>
          <w:rFonts w:ascii="Times" w:eastAsia="Calibri" w:hAnsi="Times" w:cs="Times New Roman"/>
          <w:sz w:val="24"/>
          <w:szCs w:val="24"/>
        </w:rPr>
        <w:t xml:space="preserve"> Özellikle 27 Ekim 2005’te Paris’in bir banliyösünde polis kontrolünden kaçarken durdurulmaya çalışılan üç göçmen (Tunus, Moritanya ve Türkiye) kökenli gencin ikisinin ölümü ve diğerinin yaralanmasının ardından meydana gelen sokak olaylarından sonra, sosyal eşitliğin yalnızca sınıf ve cinsiyet eşitliğine indirgenmemesi gerektiği konuları daha çok tartışılmaya başlanmıştır. Hatta Sarkozy hem öncesinde hem başkanlığı döneminde bu konularda ciddi sembolik adımlar atmış etnik azınlığa dahil olan Rachida Dati (yarı Fas yarı Cezayir kökenli, Müslüman), Rama Yade (Senegal kökenli Müslüman) ve Fadela Amara (Cezayir Kabili kökenli ve Müslüman) gibi kadın isimlere kabinesinde yer vermiştir. Dati Adalet Bakanı, Yade Dışişleri ve İnsan Haklarından Sorumlu Devlet Bakanı, Amara ise Şehir Politikalarından Sorumlu Devlet Bakanı olmuştur. </w:t>
      </w:r>
    </w:p>
    <w:p w14:paraId="2A7245C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Yukarıda belirtilen gelişmelere ek olarak, Sarkozy’nin toplumsal kimliklerle ilgili söylemleri, genel olarak göçmenler, vatandaş veya göçmen müslümanlar, sahraaltı Afrika ülkelerinden göçmenler, Asya kökenli göçmenler, Yahudi göçmenler, romanlar ve göçebe topluluklar başlıkları altında değerlendirilmiştir. </w:t>
      </w:r>
    </w:p>
    <w:p w14:paraId="7CEB1B6F" w14:textId="4707CFDA" w:rsidR="002858AE" w:rsidRPr="00E97E0B" w:rsidRDefault="002858AE" w:rsidP="002B7FA9">
      <w:pPr>
        <w:pStyle w:val="Heading3"/>
      </w:pPr>
      <w:bookmarkStart w:id="130" w:name="_Toc141133100"/>
      <w:r w:rsidRPr="00E97E0B">
        <w:t>4.</w:t>
      </w:r>
      <w:r w:rsidR="008F6C47" w:rsidRPr="00E97E0B">
        <w:t>2</w:t>
      </w:r>
      <w:r w:rsidRPr="00E97E0B">
        <w:t>.1.Genel Olarak Göçmenler</w:t>
      </w:r>
      <w:bookmarkEnd w:id="130"/>
    </w:p>
    <w:p w14:paraId="62886A1B" w14:textId="019E978C"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Bir Ulusal Göç ve Ulusal Kimlik Bakanlığı istiyorum çünkü bugün göç konusu üç farklı bakanlığa dağılmış durumda. Çoğunluğun meydana getirdiği siyasi oluşumun dışından müteşekkil bütünleşik bir takım… (Gazeteci sorar: Bu bir açılım mı?) Bence (seçimi) kazanınca başarının başkalarına da açılınarak hâkim kılı</w:t>
      </w:r>
      <w:r w:rsidR="00C84DEE" w:rsidRPr="00E97E0B">
        <w:rPr>
          <w:rFonts w:ascii="Times" w:eastAsia="Calibri" w:hAnsi="Times" w:cs="Times New Roman"/>
          <w:sz w:val="24"/>
          <w:szCs w:val="24"/>
        </w:rPr>
        <w:t>n</w:t>
      </w:r>
      <w:r w:rsidRPr="00E97E0B">
        <w:rPr>
          <w:rFonts w:ascii="Times" w:eastAsia="Calibri" w:hAnsi="Times" w:cs="Times New Roman"/>
          <w:sz w:val="24"/>
          <w:szCs w:val="24"/>
        </w:rPr>
        <w:t>ması gerekir. Çünkü Fransa A Milli Takımı’nı kurarken hiçbir yetenekten kendimizi mahrum bırakmamalı…”</w:t>
      </w:r>
      <w:r w:rsidRPr="00E97E0B">
        <w:rPr>
          <w:rFonts w:ascii="Times" w:eastAsia="Calibri" w:hAnsi="Times" w:cs="Times New Roman"/>
          <w:sz w:val="24"/>
          <w:szCs w:val="24"/>
          <w:vertAlign w:val="superscript"/>
        </w:rPr>
        <w:footnoteReference w:id="232"/>
      </w:r>
    </w:p>
    <w:p w14:paraId="265B8685" w14:textId="77777777" w:rsidR="002858AE" w:rsidRPr="00E97E0B" w:rsidRDefault="002858AE" w:rsidP="002858AE">
      <w:pPr>
        <w:spacing w:before="120" w:after="120" w:line="240" w:lineRule="auto"/>
        <w:jc w:val="both"/>
        <w:rPr>
          <w:rFonts w:ascii="Times" w:eastAsia="Calibri" w:hAnsi="Times" w:cs="Times New Roman"/>
          <w:sz w:val="24"/>
          <w:szCs w:val="24"/>
        </w:rPr>
      </w:pPr>
    </w:p>
    <w:p w14:paraId="204467B2" w14:textId="5982CA4C"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Sarkozy burada “Fransa Takımı” ve “yetenek” terimlerini bilinçli bir gönderme yapmak için kullanmıştır. “Fransa Takımı” ifadesi Fransızca’da yalnızca bir ekip ruhunu kastetmek için kullanılan rastgele bir kelime değildir. Bu ifade, Fransa’nın Milli Futbol takımını ifade etmek için kullanılmaktadır. Uzun yıllardır Fransa Milli Takımı’nın Fransa’nın göçmen kökenli vatandaşlarının çoğunlukta olduğu bir takım olması aynı zamanda aşırı sağ meyilli gruplar ve kişiler tarafından eleştiriye hedef olduğu bilinmektedir. Cumhurbaşkanı adayı da bu ifadeyi Fransa’yı pek çok renkten müteşekkil bir kompozisyon olarak görmek istediği ve tıpkı bir futbol takımı gibi Fransa’nın farklı unsurlarını bir arada toplamak istediğini belirtmesi dikkate değerdir. Diğer tarafan belirli ve talep edilen kalifikasyonları içeren yetenek ifadesi Sarkozy’nin tercih edilen göçü arzu ediyor olmasıyla yakından ilişkili bir kavramdır. Ancak, burada bir diğer konu açılım sorusuna yanıt verirken doğrudan “Evet bu bir açılımdır” ifadesini özellikle kullanmamasıdır. Konuşmanın devamında da bu kelimeyi kullanmamaya özen gösterdiği görülmektedir, mülakatı verdiği gazeteci sorularını sorarken bu kelimeyi tekraren kullandığında doğrudan onaylayarak veya karşı çıkarak yanıt vermemiştir. Bu yaklaşımıyla “açılım” sözcüğünü kendi projesi için nitelendirmek istemediğini düşündürmektedir. Bunun pek çok nedeni olabilir, ancak öyle görünmektedir ki Sarkozy bu yaklaşımıyla bir önceki seçimde halefi olan ve seçimin galibi Cumhurbaşkanı Chirac’ın merkez sağ ve sağ oylarına talip olmuştur. Göçmen kökenli vatandaşları potansiyel olarak heyecanlandırabilecek bu tür bir icraatın öncüsü Sarkozy’nin halefi Chirac’ın, 2002 cumhurbaşkanlığı seçimindeki en büyük rakibi de göçmen karşıtlığıyla bilinen Ulusal Birlik Partisi’nin (FN) o dönemki başkanı Jean-Marie Lepen’dir. Bu rekabetin Sarkozy döneminde de Jean-Marie Lepen’in kızı Marine Lepen’in FN liderliği esnasında önemli ölçüde devam ettiği söylenebilir.  Üstelik bir “açılım” sözü, göçmen kökenli kesimlerin siyasetten </w:t>
      </w:r>
      <w:r w:rsidRPr="00E97E0B">
        <w:rPr>
          <w:rFonts w:ascii="Times" w:eastAsia="Calibri" w:hAnsi="Times" w:cs="Times New Roman"/>
          <w:sz w:val="24"/>
          <w:szCs w:val="24"/>
        </w:rPr>
        <w:lastRenderedPageBreak/>
        <w:t xml:space="preserve">beklentisini artırabileceğinden, sonrasında bir </w:t>
      </w:r>
      <w:r w:rsidR="00C84DEE" w:rsidRPr="00E97E0B">
        <w:rPr>
          <w:rFonts w:ascii="Times" w:eastAsia="Calibri" w:hAnsi="Times" w:cs="Times New Roman"/>
          <w:sz w:val="24"/>
          <w:szCs w:val="24"/>
        </w:rPr>
        <w:t>hayal kırıklığına</w:t>
      </w:r>
      <w:r w:rsidRPr="00E97E0B">
        <w:rPr>
          <w:rFonts w:ascii="Times" w:eastAsia="Calibri" w:hAnsi="Times" w:cs="Times New Roman"/>
          <w:sz w:val="24"/>
          <w:szCs w:val="24"/>
        </w:rPr>
        <w:t xml:space="preserve"> uğrama ihtimallerini de güçlendirecektir. Sarkozy’nin 2012 seçimlerine de aday olmuş olduğu bilindiğinden, sonraki seçimde elini iyice zayıflatmayı istemeyecek olmasını da bir diğer sebep olarak değerlendirilebilir. Öte yandan, hem göçmen kökenli, hem de göçmen kökenli olmayan nüfusu bakımından etnik ve dini çeşitliliği oldukça fazla olan Fransa’nın bu çeşitliliğini anmak, çeşitleri eşitlemek ve bunun bir uyumlu harekete kanalize edilmesi, Fransa A Milli takımı benzetmesini anlamlı kılmaktadır. </w:t>
      </w:r>
    </w:p>
    <w:p w14:paraId="7B4AE729"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Genel olarak göçmenlere ilişkin aktör tanımını en genel haliyle karmaşık hale getirdiği ve farklı dönemlerde farklı tonlarda söylemleriyle bilinen eski cumhurbaşkanın başka bir seçim kampanyası sırasında yaptığı konuşmalara yer vermek yerinde olacaktır.  Sarkozy İçişleri ve Çevresel Planlama Bakanı olduğu sıralarda 9 Haziran 2005’te şu ifadelere yer vermiştir:</w:t>
      </w:r>
    </w:p>
    <w:p w14:paraId="03930563"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“…Göç -bu kelimeyi kullanmaya cürret edeceğim- ülkemiz için bir şanstır. Bu nedenle göçe dair olumlu bir söylem oluşturmak istiyorum. Bu hem benim güçlü kanaatim hem de entegrasyonun koşuludur…“</w:t>
      </w:r>
      <w:r w:rsidRPr="00E97E0B">
        <w:rPr>
          <w:rFonts w:ascii="Times" w:eastAsia="Calibri" w:hAnsi="Times" w:cs="Times New Roman"/>
          <w:sz w:val="24"/>
          <w:szCs w:val="24"/>
          <w:vertAlign w:val="superscript"/>
        </w:rPr>
        <w:footnoteReference w:id="233"/>
      </w:r>
    </w:p>
    <w:p w14:paraId="3A425340" w14:textId="17CFDBD5"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Burada sağ ve merkez seçmeni ikna etme çabası kendini göstermektedir. İçişleri Bakanlığı’nın ilk günlerinde yaptığı bu konuşma, göçle ilgili politikaların yapıcı olması ve entegrasyonu artırır yönde olması gerektiğini anlatmaktadır. Bu da “şans” olarak değerlendirilmesinin ön koşulu olarak görülmüştür. Bir başka çarpıcı nokta ise “söylem” ifadesinin kullanılmasıdır. Söylem ifadesinin öncelikle politika üretmekten ziyade ifadenin biçimine vurgu yapmış görünmektedir. Sarkozy “Söylem” ifadesini kullanarak bunun kendi görüşü olduğunu ifade etme ihtiyacı hissetmiş görünmektedir. Kendi görüşü olarak ifade etme ihtiyacı ise, güçlü bir şekilde temsil ettiği sağ eğilimlerin görüşüne yakın görünmediğini bildiğinden “söylem” ifadesini kullanma gereği duymuş olabilir. Diğer bir ifade olan, “şans” ifadesini kullanmaya cesaret edeceğini önden ifade ederek ve “cüret ederek” bir yandan kendini göçmen karşıtlığı görece ağır basan sağ seçmeni sözlerine hazırlama amacını taşır gibi görünmekte, diğer yandan ise göçmenlere daha sıcak </w:t>
      </w:r>
      <w:r w:rsidRPr="00E97E0B">
        <w:rPr>
          <w:rFonts w:ascii="Times" w:eastAsia="Calibri" w:hAnsi="Times" w:cs="Times New Roman"/>
          <w:sz w:val="24"/>
          <w:szCs w:val="24"/>
        </w:rPr>
        <w:lastRenderedPageBreak/>
        <w:t xml:space="preserve">bakan seçmenini ise “cesareti” ile cezbetmeye ve takdirlerini kazanmaya yönelik gibi görünmektedir, Sarkozy’nin seçim dönemi boyunca hem aşırı sağın daha mutedil kesimini hem de solun sağa daha yakın olan bir kesimini cezbetmekle seçimi kazanabileceği düşüncesi, dönemin Fransız siyasi hayatının koşulları açısından aşina olunan bir durumdur. Burada Sarkozy, göçmenleri bir nimet, bir zenginlik olarak sunmaktadır. Ancak bu en olumlu ve yakın </w:t>
      </w:r>
      <w:r w:rsidRPr="00E97E0B">
        <w:rPr>
          <w:rFonts w:ascii="Times" w:eastAsia="Calibri" w:hAnsi="Times" w:cs="Times New Roman"/>
          <w:i/>
          <w:iCs/>
          <w:sz w:val="24"/>
          <w:szCs w:val="24"/>
        </w:rPr>
        <w:t>öteki</w:t>
      </w:r>
      <w:r w:rsidRPr="00E97E0B">
        <w:rPr>
          <w:rFonts w:ascii="Times" w:eastAsia="Calibri" w:hAnsi="Times" w:cs="Times New Roman"/>
          <w:sz w:val="24"/>
          <w:szCs w:val="24"/>
        </w:rPr>
        <w:t xml:space="preserve"> konumu atfetmesine karşın</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kardeşlik veya aynı olmaya dair bir yakınlık üzerinden bir konum tayini söz konusu değildir. Göçmen, burada yalnızca işlevselliği ön planda olan ve fiziksel olarak yakın olan bir öteki olarak tanımlanmıştır.</w:t>
      </w:r>
    </w:p>
    <w:p w14:paraId="1D807F24" w14:textId="78CBFCE1"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Göç politikaları piyasanın ihtiyaçlarına göre belirlenmektedir ve Fransa’da da yabancı uyruklular özellikle kendi başına sektörlerde işçi olarak istihdam edilip orada tutulmuşlardır. Fransa’da ekonomik genişlemenin olduğu dönemlerde göç daha kolay hoşgörülen bir durumken ekonomik daralmaların gözlendiği dönemlerde göç sınırlandırılmıştır</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Bunun Fransa’nın 19. yüzyıldan beri sürekli yoğun göç alan,</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 xml:space="preserve">aynı zamanda da bu göçle ilgili sistematik düzenleme veya bürokratik bir planlama yapmaya yanaşmayan duruşuna karşın </w:t>
      </w:r>
      <w:r w:rsidR="00C84DEE" w:rsidRPr="00E97E0B">
        <w:rPr>
          <w:rFonts w:ascii="Times" w:eastAsia="Calibri" w:hAnsi="Times" w:cs="Times New Roman"/>
          <w:sz w:val="24"/>
          <w:szCs w:val="24"/>
        </w:rPr>
        <w:t>daimî</w:t>
      </w:r>
      <w:r w:rsidRPr="00E97E0B">
        <w:rPr>
          <w:rFonts w:ascii="Times" w:eastAsia="Calibri" w:hAnsi="Times" w:cs="Times New Roman"/>
          <w:sz w:val="24"/>
          <w:szCs w:val="24"/>
        </w:rPr>
        <w:t xml:space="preserve"> olarak politikacıları tarafından “istenilen” ve “istenilmeyen” göç ayrımları ve göçü sürekli kontrol altında tutma niyetleri söylem düzeyinde görünür olması nedeniyle aslında bu sınırlandırmanın beklenmeyen bir durum olmadığını belirtmek gerekir. Öte yandan, piyasa ihtiyaçları çerçevesinde, sermaye sahiplerinin iş gücü kaynağını ciddi biçimde kısıtlamak, siyaseten sağ ve merkez konumda olan bir siyasetçi için göze alması oldukça güç bir hamle olarak görülebilir.</w:t>
      </w:r>
      <w:r w:rsidRPr="00E97E0B">
        <w:rPr>
          <w:rFonts w:ascii="Times" w:eastAsia="Calibri" w:hAnsi="Times" w:cs="Times New Roman"/>
          <w:sz w:val="24"/>
          <w:szCs w:val="24"/>
          <w:vertAlign w:val="superscript"/>
        </w:rPr>
        <w:footnoteReference w:id="234"/>
      </w:r>
    </w:p>
    <w:p w14:paraId="659A4717"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Bu çerçevede Sarkozy’nin göçmen varlığına pozitif bir perspektifle yaklaştığını belirtmesi, ancak söyleminin detayına inildikçe, seçici bir göç taraftarlığını tespit etmek zor olmayacaktır. Dahası göçmenler için kurulacak bakanlık fikri göçmen ve göçmen karşıtı kesimlerce de negatif olabileceği kadar pozitif bir gelişme olarak da anlaşılmaya ve sunulmaya müsait bir stratejidir.</w:t>
      </w:r>
    </w:p>
    <w:p w14:paraId="6AA63457"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Sarkozy’nin önceki yıllarda, aile göçmenliğini kısıtlamaya yönelik, bu yolla göçle ilgili usulsüzlükleri önleme amacı gerekçesiyle ortaya koyduğu 24 Haziran 2006 tarihli göç ve entegrasyon yasa değişikliği ile çelişir görünen bu “söylem,” </w:t>
      </w:r>
      <w:r w:rsidRPr="00E97E0B">
        <w:rPr>
          <w:rFonts w:ascii="Times" w:eastAsia="Calibri" w:hAnsi="Times" w:cs="Times New Roman"/>
          <w:sz w:val="24"/>
          <w:szCs w:val="24"/>
        </w:rPr>
        <w:lastRenderedPageBreak/>
        <w:t>aslında göçü sınırlandırmayı savunan bir diğer ifadesi ile belirgin bir biçimde örtüşmektedir:</w:t>
      </w:r>
    </w:p>
    <w:p w14:paraId="0532D888"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“…Avrupalı bir kadının ortalama çocuk sayısı 1,5. Afrikalı bir kadının ise 5,2. Bu ciddi bir göç potansiyeli demektir! Gelecek yılların önemli meselelerinden biri Afrika gençliğinin kendilerine olan güvenini yeniden kazandırmak ve göç etmeleri dışında bir geleceğin olduğunu anlamalarını sağlamaktır…”</w:t>
      </w:r>
      <w:r w:rsidRPr="00E97E0B">
        <w:rPr>
          <w:rFonts w:ascii="Times" w:eastAsia="Calibri" w:hAnsi="Times" w:cs="Times New Roman"/>
          <w:sz w:val="24"/>
          <w:szCs w:val="24"/>
          <w:vertAlign w:val="superscript"/>
        </w:rPr>
        <w:footnoteReference w:id="235"/>
      </w:r>
    </w:p>
    <w:p w14:paraId="0AA9949A" w14:textId="44B14D9B"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Bununla paralel olarak gelişen bir diğer söylem de ülkedeki genç suçluları göçmenlerle örtülü olarak ilişkilendirilerek tanımlamayı içermektedir. Cumhurbaşkanının 2010 yılında Grenoble’de suç ve yasadışı göçle ilgili bir konuşmasında sarf ettiği şu sözler göçmenlerin oluşturdukları risklere</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 xml:space="preserve">bakışını yansıtmaktadır. </w:t>
      </w:r>
    </w:p>
    <w:p w14:paraId="26B69E74"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xml:space="preserve">“…Keza Fransız vatandaşlığının düşürülmesine yol açacak sebepleri tekrar değerlendireceğiz. Sorumluluğumu yerine getiriyorum. (Dramatikleştirme) Polis memuruna, jandarma askerine veya diğer her tür kamu otoritesi yetkilisine kasten saldırıda bulunan her yabancı kökenli vatandaş, Fransız vatandaşlığından çıkarılabilmelidir. Fransız vatandaşlığı hak edilir ve kişi buna layık olunduğunu gösterebiliyor olmalıdır. Kolluk kuvvetlerinde vazife yapan birine ateş eden biri Fransız olmayı hak etmemektedir. (Ötekileştirme, Dramatikleştirme) Aynı şekilde reşit olmayan bir suçlunun, Fransız vatandaşlığı reşit olduğunda doğrudan Fransız olma hakkı kazanamamasını umuyorum… …Michèle Alliot-Marie’den (dönemin Adalet Bakanı) reşit olmayanlar için uygulanabilir detaylı bir ceza hukuku reformu hazırlamasını istedim ve tabu olmaksızın uygulanabilir olası tüm yolları inceleyeceğimizi umuyorum. Gerçeği bilmiyorum. (Empati İfadesi) Fakat kabul edelim ki 1945 Kararnamesi bugün reşit olmayanlar için uygun değildir. Yoksa 60 yıldan fazlası olan bu metnin dokunulamaz olduğunu, değişmez olduğunu mu düşünmeliyiz. Burada da mesele partilerle ilgili değildir, mesele düşünmekle ilgilidir. (Mantıklı olma) Günümüzde işlenen suçlar sıklıkla duyuyor olduğum gibi bir derin rahatsızlıktan kaynaklanmamaktadır, toplumumuzun temel değerlerini aşağılamanın sonucudur (Kural Koyma İfadesi, Karşı Gerçeklik)…” </w:t>
      </w:r>
      <w:r w:rsidRPr="00E97E0B">
        <w:rPr>
          <w:rFonts w:ascii="Times" w:eastAsia="Calibri" w:hAnsi="Times" w:cs="Times New Roman"/>
          <w:sz w:val="24"/>
          <w:szCs w:val="24"/>
          <w:vertAlign w:val="superscript"/>
        </w:rPr>
        <w:footnoteReference w:id="236"/>
      </w:r>
    </w:p>
    <w:p w14:paraId="46E99F0F" w14:textId="7E22E512" w:rsidR="002858AE" w:rsidRPr="00E97E0B" w:rsidRDefault="002858AE" w:rsidP="002858AE">
      <w:pPr>
        <w:spacing w:before="120" w:after="120" w:line="360" w:lineRule="auto"/>
        <w:jc w:val="both"/>
        <w:rPr>
          <w:rFonts w:ascii="Times" w:eastAsia="Calibri" w:hAnsi="Times" w:cs="Times New Roman"/>
          <w:sz w:val="24"/>
          <w:szCs w:val="24"/>
        </w:rPr>
      </w:pPr>
      <w:r w:rsidRPr="00E97E0B">
        <w:rPr>
          <w:rFonts w:ascii="Times" w:eastAsia="Calibri" w:hAnsi="Times" w:cs="Times New Roman"/>
          <w:sz w:val="24"/>
          <w:szCs w:val="24"/>
        </w:rPr>
        <w:lastRenderedPageBreak/>
        <w:tab/>
        <w:t>Sarkozy’nin konuşmalarının içeriğindeki bu çelişkinin sebeplerini kavramak için Sarkozy’nin bu konuda oldukça pragmatik bir perspektife sahip olduğunu bilmek faydalı olacaktır. İlk olarak, göçmenlerin Sarkozy için siyasi işlevi ilk olarak onları hem bir faydalı işgücü hem de kontrol edilmesi gereken kültürel ve güvenliğe dair bir risk faktörü olarak görmesidir. İkinci olarak, Sarkozy’nin göçmen olgusu üzerinden aldığı siyasi desteğini azamiye nasıl çıkarabilecek şekilde göçmenleri araçsallaştırmaktadır. Girmiş ve kazanmış olduğu ilk seçim kampanyası öncesinde özellikle Müslüman topluma yönelik olarak belirgin bir biçimde daha olumlu bir söylemi benimsemişken, sonrasında ve ara ara genel olarak göçmenler ve özelde de Müslüman toplum hakkındaki söylemlerini sertleştirmiştir. Başlangıçta, toplumun genelinin göçmenlere daha nötr kaldığı dönemde, açılım yapan ve göçmenleri şans olarak gören bir lider konumunu benimseyen eski cumhurbaşkanı, sonraları küresel krizin de etkisiyle güvenlikle ve istihdamla ilgili sorunların ağırlığı karşısında toplumsal eğilimin göçmen karşıtlığının yükselişini görerek, söylemini buna uyarlamıştır.</w:t>
      </w:r>
    </w:p>
    <w:p w14:paraId="0B87D0E7"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Sarkozy burada anayasal açıdan uygulanabilirliği oldukça zor olan bir yasal reformu önermektedir. Bu o denli zordur ki bu tür bir karar almak aynı zamanda başka pek çok daha ufak suç için benzer bir uygulamanın doğmasının yolunu açabilecektir; çünkü, belirlenen nitelik oldukça keyfi bir görünüme sahiptir. Nitekim bu kanun teklifi gerçekleşmeden Senato’daki tartışmalar sırasında silinmiş ve UMP hükümetinin kendisi tarafından böyle bir kanundan vazgeçilmiştir.</w:t>
      </w:r>
      <w:r w:rsidRPr="00E97E0B">
        <w:rPr>
          <w:rFonts w:ascii="Times" w:eastAsia="Calibri" w:hAnsi="Times" w:cs="Times New Roman"/>
          <w:sz w:val="24"/>
          <w:szCs w:val="24"/>
          <w:vertAlign w:val="superscript"/>
        </w:rPr>
        <w:footnoteReference w:id="237"/>
      </w:r>
      <w:r w:rsidRPr="00E97E0B">
        <w:rPr>
          <w:rFonts w:ascii="Times" w:eastAsia="Calibri" w:hAnsi="Times" w:cs="Times New Roman"/>
          <w:sz w:val="24"/>
          <w:szCs w:val="24"/>
        </w:rPr>
        <w:t xml:space="preserve"> Ancak böyle olabileceği kolaylıkla öngörülebileceği halde seçim yatırımı olarak görülebilecek bu söylemsel çıkış aslında göçmen kökenli Fransızları hedefe almakta ve kastedilen suçu işleyen kişinin göçmen kökenli olmaması durumunda </w:t>
      </w:r>
      <w:r w:rsidRPr="00E97E0B">
        <w:rPr>
          <w:rFonts w:ascii="Times" w:eastAsia="Calibri" w:hAnsi="Times" w:cs="Times New Roman"/>
          <w:sz w:val="24"/>
          <w:szCs w:val="24"/>
        </w:rPr>
        <w:lastRenderedPageBreak/>
        <w:t xml:space="preserve">aynı vatandaşlıktan çıkarılma prosedürünün işletilemeyeceği anlamını da taşımaktadır. Fransız vatandaşlığı, konuşmacının ifadesiyle hak edilmesi gereken bir kazanımdır. Böyle bir durumda, Fransız bir ailede başka herhangi bir kökeni olmayan birinin göçmen kökenli birine nazaran aynı hak ve ödevlere sahip olduğu söylenemez. Buna göre doğumdan itibaren Fransız olan biri Fransız olmayı hak etmek zorunda kalmayacakken sonradan Fransız olma hakkını kazanan biri bunu sürekli olarak hak etmekle yükümlü olacaktır. Bu, göçmen konumunu, aslında güvenilmemesi ve sürekli olarak denetlenmesi gereken bir </w:t>
      </w:r>
      <w:r w:rsidRPr="00E97E0B">
        <w:rPr>
          <w:rFonts w:ascii="Times" w:eastAsia="Calibri" w:hAnsi="Times" w:cs="Times New Roman"/>
          <w:i/>
          <w:iCs/>
          <w:sz w:val="24"/>
          <w:szCs w:val="24"/>
        </w:rPr>
        <w:t>öteki</w:t>
      </w:r>
      <w:r w:rsidRPr="00E97E0B">
        <w:rPr>
          <w:rFonts w:ascii="Times" w:eastAsia="Calibri" w:hAnsi="Times" w:cs="Times New Roman"/>
          <w:sz w:val="24"/>
          <w:szCs w:val="24"/>
        </w:rPr>
        <w:t xml:space="preserve"> olarak dışsallaştıran bir söylemdir. Bu dışsallaştırma öylesine güçlüdür ki, bu söylem, Fransız olabilmiş bir göçmen de bu dışsallaştırmaya maruz kalabileceği anlamına da gelmektedir. Dahası bu konu ile ilgili olarak, reşit olmayan bir kimsenin vatandaşlık haklarına da ayrıca sınırlandırma önerilerek güvenilmez öteki konumu perçinlenmiştir. Üstelik, bu öteki kavramı üzerinden, yalnızca terör, vatana ihanet, başka bir ülkenin çıkarlarına veya memuriyetinde hizmet etme gibi bir durumda uygulanabilecek olan son derece üst düzey bir suçun veya doğrudan vatandaşlığın temel nitelikleriyle çelişir bir durumun cezasını daha basit suçların cezası olarak genişletmeyi teklif etmiş olmaktadır.</w:t>
      </w:r>
      <w:r w:rsidRPr="00E97E0B">
        <w:rPr>
          <w:rFonts w:ascii="Times" w:eastAsia="Calibri" w:hAnsi="Times" w:cs="Times New Roman"/>
          <w:sz w:val="24"/>
          <w:szCs w:val="24"/>
          <w:vertAlign w:val="superscript"/>
        </w:rPr>
        <w:footnoteReference w:id="238"/>
      </w:r>
      <w:r w:rsidRPr="00E97E0B">
        <w:rPr>
          <w:rFonts w:ascii="Times" w:eastAsia="Calibri" w:hAnsi="Times" w:cs="Times New Roman"/>
          <w:sz w:val="24"/>
          <w:szCs w:val="24"/>
        </w:rPr>
        <w:t xml:space="preserve"> Bunu yaparken, Sarkozy, sorumluluk almak olarak ifade ettiği yeni bir kanun teklifi fikrini dramatikleştirerek empati kazanabilecek bir duygusal anlama kavuşturmayı hedeflemiş görünmektedir.</w:t>
      </w:r>
    </w:p>
    <w:p w14:paraId="7465E836" w14:textId="1FCF41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Konuşmasının devamında çocuk suçlarının cezasını ağırlaştırmak suretiyle bu suçların azalacağı savunusunu dile getiren konuşmacı aslında örtülü olarak öncelikle öteki konumundaki göçmenleri yönelik bir uygulamadan bahsetmektedir. Zira çoğunlukla suçluluğu istatistiksel olarak en fazla gösterilen kesimlerin Afrikalı, Müslüman veya Roman kökenli veya yabancı olduğu ve toplumsal algının da bu şekilde oluştuğu bir bağlamda suçla ve göçle ilgili bir konuşma esnasında bahsi geçen sertleştirmenin altında belirli öteki ve ötekilere tavır olduğu anlaşılmaktadır.</w:t>
      </w:r>
      <w:r w:rsidRPr="00E97E0B">
        <w:rPr>
          <w:rFonts w:ascii="Times" w:eastAsia="Calibri" w:hAnsi="Times" w:cs="Times New Roman"/>
          <w:sz w:val="24"/>
          <w:szCs w:val="24"/>
          <w:vertAlign w:val="superscript"/>
        </w:rPr>
        <w:footnoteReference w:id="239"/>
      </w:r>
      <w:r w:rsidRPr="00E97E0B">
        <w:rPr>
          <w:rFonts w:ascii="Times" w:eastAsia="Calibri" w:hAnsi="Times" w:cs="Times New Roman"/>
          <w:sz w:val="24"/>
          <w:szCs w:val="24"/>
        </w:rPr>
        <w:t xml:space="preserve"> Ayrıca, göç ve genç suçluları aynı konuşma başlığı altında ele almak dahi bir konuyla ilgili bakış açısını yansıtıcı bir niteliktedir. Konuşma içinde </w:t>
      </w:r>
      <w:r w:rsidRPr="00E97E0B">
        <w:rPr>
          <w:rFonts w:ascii="Times" w:eastAsia="Calibri" w:hAnsi="Times" w:cs="Times New Roman"/>
          <w:sz w:val="24"/>
          <w:szCs w:val="24"/>
        </w:rPr>
        <w:lastRenderedPageBreak/>
        <w:t>savı rasyonelleştirmek amacıyla uslamlama yapılmakta ve eskiliği bilinen bir mevzuatın üzerinden pek çok toplumsal değişikliğin geçtiği belirtilmektedir. Diğer taraftan kolluk kuvvetlerine herhangi bir sebepten saldırıda bulunmuş bir kişiyi vatandaşlıktan çıkarmayı vadederek yalnızca “doğuştan” Fransız olanları kayırıcı bir fikri ortaya atmakla kalmamış; aynı zamanda bu suçu işleyebilecek potansiyel kimliklere de vurgu yapmıştır. Bu ötekileştirme aynı zamanda bir ötekileştirme söylemiyle birlikte ortaya konulmuştur. Elbette hiçbir yerde güvenlik güçlerine saldırmak kabul edilemez ve şiddetli bir biçimde cezalandırılır, ancak burada vatandaşlıktan çıkarma alternatifini seçici bir şekilde uygulamak istendiği dile getirilmiştir.</w:t>
      </w:r>
    </w:p>
    <w:p w14:paraId="048A4599" w14:textId="6D0F440D"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Reşitlerin cezai ehliyetleriyle ilgili düzenlemeleri kapsayan 1945 kararnamesinin düzeltilmesini talep eden Sarkozy, hem düzenlemenin yapılabilir olmaması ihtimaline karşın bir ön almayı hem de dinleyicinin empati kurmasını sağlayabilecek şekilde gerçeği bilmediğini, ancak çabalarının bu doğrultuda olacağını belirmiştir. Sarkozy’nin sıklıkla başvurduğu söylemsel bir stratejinin de parçası olan mantıklı olmak ve ideolojik bakışla kendini kısıtlamaması</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burada kullanılmıştır. Makul ve rasyonel olma, ideolojik veya partizan bir perspektifle konuşmuyor olmak anlamlarına gelebilecek ifadeler sıklıkla ideolojik yaklaşımları makul göstermek için başvuran bir söylem biçimidir. Burada bu tarz bir söyleme karşılık gelen cümlenin hemen ardından kural ifadesinin gelmesi verilmek istenen anlamı makul olma ve bir kural niteliğini taşıma özellikleri açısından güçlendirmektedir. Bununla birlikte, konuşma esnasında, 1945 Kararnamesi’nin ardından geçen 60 yılda neyin değiştiğine dair mantık kurmayı sağlayacak herhangi bir bilgi verilmemektedir, ancak</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 xml:space="preserve">bu mantıklı olma söyleminin ardından kanıya dayalı bir karşı gerçekliğin kural olarak sunulması çabası dikkat çekicidir. Bu çaba, günümüzde karşılaşılan suçların derin bir toplumsal sıkıntıyı gösterdiği kanısının yanlış, bizim toplumumuza ait değerlerin aşağı görülmeye çalışıldığı gerçeği ise doğru olarak kabul ettirilmesi yönündedir. Burada “toplumumuzun değerleri” açıkça biz-onlar karşıtlığını ve suç işleyenlerin bizim toplumumuzun içinde bulunan ve fakat bizden olmayanları kapsamaktadır. </w:t>
      </w:r>
    </w:p>
    <w:p w14:paraId="479CBA4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Konuşmada yer alan bir diğer öteki her ne kadar temel olarak takdim edilen ötekinin yanında ikincil bir konumda olsa da sol siyasettir zira “sıklıkla duyuyor </w:t>
      </w:r>
      <w:r w:rsidRPr="00E97E0B">
        <w:rPr>
          <w:rFonts w:ascii="Times" w:eastAsia="Calibri" w:hAnsi="Times" w:cs="Times New Roman"/>
          <w:sz w:val="24"/>
          <w:szCs w:val="24"/>
        </w:rPr>
        <w:lastRenderedPageBreak/>
        <w:t xml:space="preserve">olduğum gibi” ifadesi ile kastedilen sol siyasetin savunduğu ve yer yer artırarak dile getirdiği bir argümandır. Aynı şekilde 1945 Kararnamesi’nin dokunulmaz olmadığını söylerken bu kararnamedeki esasları Fransa’daki sol siyaset, sağ partilere göre daha fazla savunma eğiliminde olduğundan burada bir karşıt gerçeklik sunulması söz konusudur. </w:t>
      </w:r>
    </w:p>
    <w:p w14:paraId="62A3ECE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Fransa’da göç denildiği vakit ve göçle ilgili bir konuşma yapılacağı zaman dile getirilen ilk hatta çoğunlukla tek örneğin Afrika olmasının nedeni Fransa’nın almış olduğu göçün neredeyse yarısının Afrika menşeili olmasıdır. Afrika menşeili göçlerin daha çok dile getirilmesinin diğer bir önemli nedeni Afrikalı göçmenlerin iki büyük göç kategorisi olan Avrupalı ve Asyalı göçmenlerin toplamı kadar olup tek başına %40’tan fazla olmasıdır.</w:t>
      </w:r>
      <w:r w:rsidRPr="00E97E0B">
        <w:rPr>
          <w:rFonts w:ascii="Times" w:eastAsia="Calibri" w:hAnsi="Times" w:cs="Times New Roman"/>
          <w:sz w:val="24"/>
          <w:szCs w:val="24"/>
          <w:vertAlign w:val="superscript"/>
        </w:rPr>
        <w:footnoteReference w:id="240"/>
      </w:r>
      <w:r w:rsidRPr="00E97E0B">
        <w:rPr>
          <w:rFonts w:ascii="Times" w:eastAsia="Calibri" w:hAnsi="Times" w:cs="Times New Roman"/>
          <w:sz w:val="24"/>
          <w:szCs w:val="24"/>
        </w:rPr>
        <w:t xml:space="preserve"> Avrupalı ve Asyalı göçmen kategorilerin özellikle ilki kültürel ve ekonomik yakınlıkları, ikincisi ise özellikle ekonomik entegrasyonları nedeniyle siyasal alanda ötekileştirilmeye daha az maruz kalmaktadır. Bu nedenle, Fransa’da siyasal söylemde göçmen unsurun konusu ağırlıklı olarak Afrika’ya kaymış görünmektedir. Dikkat çeken bir husus ise Yabancıların İkamet ve Girişi ve İltica Hakkı’na dair yasanın 24 Haziran 2007’de yürürlüğe giren bir ek maddesi ülkenin kendisine fayda sağlayabilecek göçmenleri tercih etmesine imkan sağlamaktadır.</w:t>
      </w:r>
      <w:r w:rsidRPr="00E97E0B">
        <w:rPr>
          <w:rFonts w:ascii="Times" w:eastAsia="Calibri" w:hAnsi="Times" w:cs="Times New Roman"/>
          <w:sz w:val="24"/>
          <w:szCs w:val="24"/>
          <w:vertAlign w:val="superscript"/>
        </w:rPr>
        <w:footnoteReference w:id="241"/>
      </w:r>
      <w:r w:rsidRPr="00E97E0B">
        <w:rPr>
          <w:rFonts w:ascii="Times" w:eastAsia="Calibri" w:hAnsi="Times" w:cs="Times New Roman"/>
          <w:sz w:val="24"/>
          <w:szCs w:val="24"/>
        </w:rPr>
        <w:t xml:space="preserve"> Bu durumun göçmenleri yasal sınırların dışına itip entegrasyonu sağlamak şöyle dursun entegrasyonu ve toplumsal huzuru bozucu özelliği olduğu konusunda esaslı eleştirilere hedef olduğu görülmektedir.</w:t>
      </w:r>
      <w:r w:rsidRPr="00E97E0B">
        <w:rPr>
          <w:rFonts w:ascii="Times" w:eastAsia="Calibri" w:hAnsi="Times" w:cs="Times New Roman"/>
          <w:sz w:val="24"/>
          <w:szCs w:val="24"/>
          <w:vertAlign w:val="superscript"/>
        </w:rPr>
        <w:footnoteReference w:id="242"/>
      </w:r>
      <w:r w:rsidRPr="00E97E0B">
        <w:rPr>
          <w:rFonts w:ascii="Times" w:eastAsia="Calibri" w:hAnsi="Times" w:cs="Times New Roman"/>
          <w:sz w:val="24"/>
          <w:szCs w:val="24"/>
        </w:rPr>
        <w:t xml:space="preserve"> Göç, fazlası zarar ve seçilerek alınması gereken bir olgu olarak pragmatik ve pratik bir enstrüman olarak görülmektedir. Bu yüzden, tüm kitleleri kapsayan göç tanımlanırken insanî kısmı önemsizleşmekte ve kitlelerin işlevselliği anlamlı hale gelmektedir.</w:t>
      </w:r>
    </w:p>
    <w:p w14:paraId="45C3EDA0" w14:textId="4678ABBA" w:rsidR="002858AE" w:rsidRPr="00E97E0B" w:rsidRDefault="002858AE" w:rsidP="002B7FA9">
      <w:pPr>
        <w:pStyle w:val="Heading3"/>
      </w:pPr>
      <w:bookmarkStart w:id="136" w:name="_Toc141133101"/>
      <w:r w:rsidRPr="00E97E0B">
        <w:lastRenderedPageBreak/>
        <w:t>4.</w:t>
      </w:r>
      <w:r w:rsidR="008F6C47" w:rsidRPr="00E97E0B">
        <w:t>2</w:t>
      </w:r>
      <w:r w:rsidRPr="00E97E0B">
        <w:t>.</w:t>
      </w:r>
      <w:r w:rsidR="002B7FA9" w:rsidRPr="00E97E0B">
        <w:t>2</w:t>
      </w:r>
      <w:r w:rsidRPr="00E97E0B">
        <w:t>. Vatandaş veya Göçmen Müslümanlar</w:t>
      </w:r>
      <w:bookmarkEnd w:id="136"/>
    </w:p>
    <w:p w14:paraId="087FE433" w14:textId="565B4400"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Fransa’da dini aidiyetleri baskın ve ortak özellik olarak tanımlanan ve kendilerini de bu şekilde tanımlamaya meyilli olan en büyük azınlık grup Müslümanlar olmuşlardır. Fransa, 1980’li yıllara kadar Afrika’nın kuzeyindeki Fas, Tunus ve Cezayir kökenli ağırlıklı göçmen grubu dini aidiyet üzerinden algılayan ev sahibi toplum konumunda olmuş, ancak göçmen </w:t>
      </w:r>
      <w:r w:rsidR="00C84DEE" w:rsidRPr="00E97E0B">
        <w:rPr>
          <w:rFonts w:ascii="Times" w:eastAsia="Calibri" w:hAnsi="Times" w:cs="Times New Roman"/>
          <w:sz w:val="24"/>
          <w:szCs w:val="24"/>
        </w:rPr>
        <w:t>M</w:t>
      </w:r>
      <w:r w:rsidRPr="00E97E0B">
        <w:rPr>
          <w:rFonts w:ascii="Times" w:eastAsia="Calibri" w:hAnsi="Times" w:cs="Times New Roman"/>
          <w:sz w:val="24"/>
          <w:szCs w:val="24"/>
        </w:rPr>
        <w:t>üslümanlar hakkında politika belirlememeyi ve işleri olduğu gibi bırakmayı görece tercih eden hükümetlerin yaklaşımlarıyla birlikte göçmen nüfusun hukuki sosyal gelişimine de katkıda bulunma konusunda oldukça zayıf kalmıştır. Ayrıca, “Devlet her şeyi yapamaz,” “Devlet daha az olmalı” benzeri liberal söylemlerin Fransa’da güç kazandığı artırdığı bu dönemde, sosyal ve ekonomik kırılganlık bakımından ilk akla gelebilecek Müslüman kökenli grupların özellikle ikinci nesillerinin Müslüman kimliğini öncekilerden daha fazla benimsemeleri tesadüf değildir.</w:t>
      </w:r>
      <w:r w:rsidRPr="00E97E0B">
        <w:rPr>
          <w:rFonts w:ascii="Times" w:eastAsia="Calibri" w:hAnsi="Times" w:cs="Times New Roman"/>
          <w:sz w:val="24"/>
          <w:szCs w:val="24"/>
          <w:vertAlign w:val="superscript"/>
        </w:rPr>
        <w:footnoteReference w:id="243"/>
      </w:r>
      <w:r w:rsidRPr="00E97E0B">
        <w:rPr>
          <w:rFonts w:ascii="Times" w:eastAsia="Calibri" w:hAnsi="Times" w:cs="Times New Roman"/>
          <w:sz w:val="24"/>
          <w:szCs w:val="24"/>
        </w:rPr>
        <w:t xml:space="preserve"> Bu durum, devamında ve karşılıklı olarak Müslümanlığın Fransa’da ayrıştırıcı ya da belirleyici bir kimlik olmasına zemin hazırlamıştır. Ayrıca, </w:t>
      </w:r>
      <w:r w:rsidR="00C84DEE" w:rsidRPr="00E97E0B">
        <w:rPr>
          <w:rFonts w:ascii="Times" w:eastAsia="Calibri" w:hAnsi="Times" w:cs="Times New Roman"/>
          <w:sz w:val="24"/>
          <w:szCs w:val="24"/>
        </w:rPr>
        <w:t>M</w:t>
      </w:r>
      <w:r w:rsidRPr="00E97E0B">
        <w:rPr>
          <w:rFonts w:ascii="Times" w:eastAsia="Calibri" w:hAnsi="Times" w:cs="Times New Roman"/>
          <w:sz w:val="24"/>
          <w:szCs w:val="24"/>
        </w:rPr>
        <w:t>üslümanlığın ayrıştırıcı ve belirleyici kimlik olması, kültür ve kimlik politikaları üzerinden oyunu giderek artıran Ulusal Birlik Partisi’nin ülke politikalarını belirleme yönünde baskı kurma konusunda elini oldukça güçlendirmiştir.</w:t>
      </w:r>
    </w:p>
    <w:p w14:paraId="2D624089" w14:textId="1BBAEB63"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Kültürel çeşitlilik, Fransa’nın tarihinin ve bugününün vazgeçilmez bir parçasıdır, zira ülke hem önceki yüzyıllarda birçok farklı dilin yaygın bir biçimde konuşulmuş olduğu ve farklı mezheplerin olduğu bir coğrafyaya hem de köklü bir kolonizasyon tarihine ve sosyolojisine sahiptir. Bununla birlikte modern toplumların çok büyük bir kısmında etnik, dinsel, kültürel çeşitlilik göç başta olmak üzere pek çok nedene bağlı olarak artmaktadır. Ancak çokkültürlülük terimi, siyasi kültür açısından kullanımı asimilasyon ve entegrasyon politikalarını da akla getirdiğinden, oldukça hassas bir kelimedir, üstelik sağ ve muhafazakâr kesimler için pek çok durumda olumsuz bir çağrışımı</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barındırmaktadır.</w:t>
      </w:r>
      <w:r w:rsidRPr="00E97E0B">
        <w:rPr>
          <w:rFonts w:ascii="Times" w:eastAsia="Calibri" w:hAnsi="Times" w:cs="Times New Roman"/>
          <w:sz w:val="24"/>
          <w:szCs w:val="24"/>
          <w:vertAlign w:val="superscript"/>
        </w:rPr>
        <w:footnoteReference w:id="244"/>
      </w:r>
      <w:r w:rsidRPr="00E97E0B">
        <w:rPr>
          <w:rFonts w:ascii="Times" w:eastAsia="Calibri" w:hAnsi="Times" w:cs="Times New Roman"/>
          <w:sz w:val="24"/>
          <w:szCs w:val="24"/>
        </w:rPr>
        <w:t xml:space="preserve"> Bir taraftan çokkültürlülük ifadesinin ardında yatan anlamın Fransızların belirli bir kısmı </w:t>
      </w:r>
      <w:r w:rsidRPr="00E97E0B">
        <w:rPr>
          <w:rFonts w:ascii="Times" w:eastAsia="Calibri" w:hAnsi="Times" w:cs="Times New Roman"/>
          <w:sz w:val="24"/>
          <w:szCs w:val="24"/>
        </w:rPr>
        <w:lastRenderedPageBreak/>
        <w:t xml:space="preserve">tarafından ulusal kimliğe bir tehdit olarak görüldüğü göz önünde bulundurulduğunda, bu konuyla ilgili cumhurbaşkanının çok net bir tavrının olması beklenemeyecektir zira etnik ve dinsel unsurlara karşı esnek ve ucu açık bir aktör tanımı yapmak söylem stratejisi bakımından beklenen bir tutum olacaktır. </w:t>
      </w:r>
    </w:p>
    <w:p w14:paraId="2D52909A" w14:textId="381DC604"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Ele alınan dönemin nüfusu, 2007’de 63 milyon 601 bin, 65 milyon 281 bin kadardır.</w:t>
      </w:r>
      <w:r w:rsidRPr="00E97E0B">
        <w:rPr>
          <w:rFonts w:ascii="Times" w:eastAsia="Calibri" w:hAnsi="Times" w:cs="Times New Roman"/>
          <w:sz w:val="24"/>
          <w:szCs w:val="24"/>
          <w:vertAlign w:val="superscript"/>
        </w:rPr>
        <w:footnoteReference w:id="245"/>
      </w:r>
      <w:r w:rsidRPr="00E97E0B">
        <w:rPr>
          <w:rFonts w:ascii="Times" w:eastAsia="Calibri" w:hAnsi="Times" w:cs="Times New Roman"/>
          <w:sz w:val="24"/>
          <w:szCs w:val="24"/>
        </w:rPr>
        <w:t xml:space="preserve"> Ele alınan dönem için Fransa’nın en güvenilir devlet istatistik kurumu INSEE’nin (Institut National de la Statistique et des Études économique</w:t>
      </w:r>
      <w:r w:rsidR="00C84DEE" w:rsidRPr="00E97E0B">
        <w:rPr>
          <w:rFonts w:ascii="Times" w:eastAsia="Calibri" w:hAnsi="Times" w:cs="Times New Roman"/>
          <w:sz w:val="24"/>
          <w:szCs w:val="24"/>
        </w:rPr>
        <w:t>s</w:t>
      </w:r>
      <w:r w:rsidRPr="00E97E0B">
        <w:rPr>
          <w:rFonts w:ascii="Times" w:eastAsia="Calibri" w:hAnsi="Times" w:cs="Times New Roman"/>
          <w:sz w:val="24"/>
          <w:szCs w:val="24"/>
        </w:rPr>
        <w:t>/Ulusal İstatistik ve Ekonomik Araştırmalar Enstitüsü) yapmış olduğu, 2013 sonunda tamamlanan detaylı bir çalışma esas alınmıştır. Çalışmaya göre 65 milyon 8 yüz bin nüfuslu ülkenin 58 milyon 2 yüz bin kadarı Fransa doğumlu Fransız vatandaşıdır. Geriye kalanlar ise yurtdışında doğanlar olarak ülke nüfusunun %11</w:t>
      </w:r>
      <w:r w:rsidR="00B02CF0" w:rsidRPr="00E97E0B">
        <w:rPr>
          <w:rFonts w:ascii="Times" w:eastAsia="Calibri" w:hAnsi="Times" w:cs="Times New Roman"/>
          <w:sz w:val="24"/>
          <w:szCs w:val="24"/>
        </w:rPr>
        <w:t>,</w:t>
      </w:r>
      <w:r w:rsidRPr="00E97E0B">
        <w:rPr>
          <w:rFonts w:ascii="Times" w:eastAsia="Calibri" w:hAnsi="Times" w:cs="Times New Roman"/>
          <w:sz w:val="24"/>
          <w:szCs w:val="24"/>
        </w:rPr>
        <w:t>55’ine tekabül etmektedir. Bunun 1,7 milyonu Fransız vatandaşı olarak doğmuştur. 5,9 milyonu ise yabancı bir ülkenin vatandaşı olarak doğmuştur. 600 bin kişi Fransa’da yabancı olarak doğmuş, 2,3 milyon kişi ise sonradan vatandaş olmuştur. Bu durumda, o dönemde Fransa nüfusunun %8,9’u göçmendir. Ayrıca göçmen oranının ve nüfusunun günümüzde artma eğiliminde olduğu görülmektedir.</w:t>
      </w:r>
      <w:r w:rsidRPr="00E97E0B">
        <w:rPr>
          <w:rFonts w:ascii="Times" w:eastAsia="Calibri" w:hAnsi="Times" w:cs="Times New Roman"/>
          <w:sz w:val="24"/>
          <w:szCs w:val="24"/>
          <w:vertAlign w:val="superscript"/>
        </w:rPr>
        <w:footnoteReference w:id="246"/>
      </w:r>
      <w:r w:rsidRPr="00E97E0B">
        <w:rPr>
          <w:rFonts w:ascii="Times" w:eastAsia="Calibri" w:hAnsi="Times" w:cs="Times New Roman"/>
          <w:sz w:val="24"/>
          <w:szCs w:val="24"/>
        </w:rPr>
        <w:t xml:space="preserve"> Örneğin, 2021 yılında yapılan çalışmada 67,6 milyon olarak hesaplanan Fransa nüfusunun 7 milyon kadarı göçmendir. Bu da yaklaşık %10,35’e tekabül etmektedir. Günümüzde Fransa’nın toplam nüfusu 68 milyondur.</w:t>
      </w:r>
      <w:r w:rsidRPr="00E97E0B">
        <w:rPr>
          <w:rFonts w:ascii="Times" w:eastAsia="Calibri" w:hAnsi="Times" w:cs="Times New Roman"/>
          <w:sz w:val="24"/>
          <w:szCs w:val="24"/>
          <w:vertAlign w:val="superscript"/>
        </w:rPr>
        <w:footnoteReference w:id="247"/>
      </w:r>
      <w:r w:rsidRPr="00E97E0B">
        <w:rPr>
          <w:rFonts w:ascii="Times" w:eastAsia="Calibri" w:hAnsi="Times" w:cs="Times New Roman"/>
          <w:sz w:val="24"/>
          <w:szCs w:val="24"/>
        </w:rPr>
        <w:t xml:space="preserve"> Kaçak göçmen sayısının 2007’de 194 bin, 2012’de 252 bin, 2013’te 282 bin olduğu tahmin edilmektedir.</w:t>
      </w:r>
      <w:r w:rsidRPr="00E97E0B">
        <w:rPr>
          <w:rFonts w:ascii="Times" w:eastAsia="Calibri" w:hAnsi="Times" w:cs="Times New Roman"/>
          <w:sz w:val="24"/>
          <w:szCs w:val="24"/>
          <w:vertAlign w:val="superscript"/>
        </w:rPr>
        <w:footnoteReference w:id="248"/>
      </w:r>
      <w:r w:rsidRPr="00E97E0B">
        <w:rPr>
          <w:rFonts w:ascii="Times" w:eastAsia="Calibri" w:hAnsi="Times" w:cs="Times New Roman"/>
          <w:sz w:val="24"/>
          <w:szCs w:val="24"/>
        </w:rPr>
        <w:t xml:space="preserve"> Öte yandan bu rakamın İçişleri Bakanlığı’nın resmî sitesinde yayımlanan en güncel olan 2020 raporuna göre kaçak göçmen sayısının 368 bin civarında oldukları görülmektedir.</w:t>
      </w:r>
      <w:r w:rsidRPr="00E97E0B">
        <w:rPr>
          <w:rFonts w:ascii="Times" w:eastAsia="Calibri" w:hAnsi="Times" w:cs="Times New Roman"/>
          <w:sz w:val="24"/>
          <w:szCs w:val="24"/>
          <w:vertAlign w:val="superscript"/>
        </w:rPr>
        <w:footnoteReference w:id="249"/>
      </w:r>
      <w:r w:rsidRPr="00E97E0B">
        <w:rPr>
          <w:rFonts w:ascii="Times" w:eastAsia="Calibri" w:hAnsi="Times" w:cs="Times New Roman"/>
          <w:sz w:val="24"/>
          <w:szCs w:val="24"/>
        </w:rPr>
        <w:t xml:space="preserve"> Her ne kadar gerçek rakamın bunun üzerinde olduğu varsayılabilecek de olsa bu rakamlar fikir verecek düzeydedir. Yayımlanan en güncel 2021 verilerine göre göçmen nüfusun %47’si Afrika doğumlu, %13,6’sı </w:t>
      </w:r>
      <w:r w:rsidRPr="00E97E0B">
        <w:rPr>
          <w:rFonts w:ascii="Times" w:eastAsia="Calibri" w:hAnsi="Times" w:cs="Times New Roman"/>
          <w:sz w:val="24"/>
          <w:szCs w:val="24"/>
        </w:rPr>
        <w:lastRenderedPageBreak/>
        <w:t>Asya kökenlidir. %33’ü Avrupa ve %5,8’i Amerika ve Avusturalya doğumludur, ancak bu gruplar hakkında siyasi yaşamda belirli bir öteki imgesine rastlanamamaktadır. Göçmenler arasında en fazla köken sırasıyla, Cezayir (%12,7), Fas (%12), Portekiz (%8,6), Tunus (%4,5), İtalya (%4,1), Türkiye (%3,6) ve İspanya (%3,5) olarak belirtilmiştir. Vatandaşların dinsel aidiyetleriyle ilgili resmi bir araştırma yasal nedenlerle olamamakla birlikte, Alfred Dittgen Population &amp; Avenir’in 2005 yılındaki tahminlerine göre toplam nüfusa oranla, Hristiyanlar %61,4, herhangi bir dine bağlı olmayanlar ve diğer dinlere bağlı olanlar, %31,5, Müslümanlar %6,3, Yahudiler ise %0,8’dir.</w:t>
      </w:r>
      <w:r w:rsidRPr="00E97E0B">
        <w:rPr>
          <w:rFonts w:ascii="Times" w:eastAsia="Calibri" w:hAnsi="Times" w:cs="Times New Roman"/>
          <w:sz w:val="24"/>
          <w:szCs w:val="24"/>
          <w:vertAlign w:val="superscript"/>
        </w:rPr>
        <w:footnoteReference w:id="250"/>
      </w:r>
      <w:r w:rsidRPr="00E97E0B">
        <w:rPr>
          <w:rFonts w:ascii="Times" w:eastAsia="Calibri" w:hAnsi="Times" w:cs="Times New Roman"/>
          <w:sz w:val="24"/>
          <w:szCs w:val="24"/>
        </w:rPr>
        <w:t xml:space="preserve"> Ayrıca, 2020 verilerine göre ülkede bulunan yaklaşık 37 milyon 940 bin kişi Hristiyan, 20 milyon 830 bin kişi herhangi bir dine bağlı olmayan kategorideyken, 5 milyon 430 bin Müslüman, 340 bin Yahudi, 310 bin Budist bulunmaktadır.</w:t>
      </w:r>
      <w:r w:rsidRPr="00E97E0B">
        <w:rPr>
          <w:rFonts w:ascii="Times" w:eastAsia="Calibri" w:hAnsi="Times" w:cs="Times New Roman"/>
          <w:sz w:val="24"/>
          <w:szCs w:val="24"/>
          <w:vertAlign w:val="superscript"/>
        </w:rPr>
        <w:footnoteReference w:id="251"/>
      </w:r>
      <w:r w:rsidRPr="00E97E0B">
        <w:rPr>
          <w:rFonts w:ascii="Times" w:eastAsia="Calibri" w:hAnsi="Times" w:cs="Times New Roman"/>
          <w:sz w:val="24"/>
          <w:szCs w:val="24"/>
        </w:rPr>
        <w:t xml:space="preserve"> </w:t>
      </w:r>
    </w:p>
    <w:p w14:paraId="53822CB3" w14:textId="6CB5FD46"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Göçmen ve etnik çeşitlilik konuları farklı kültürel kimliklere değinecek şekilde ara ara gündeme geliyor olsa da hem medyada hem de ulusal siyaset düzeyinde özellikle 2001’den bu yana en çok gündeme gelen kültürel kimlik İslam ve İslam’la ilintili kimliklerdir.</w:t>
      </w:r>
      <w:r w:rsidRPr="00E97E0B">
        <w:rPr>
          <w:rFonts w:ascii="Times" w:eastAsia="Calibri" w:hAnsi="Times" w:cs="Times New Roman"/>
          <w:sz w:val="24"/>
          <w:szCs w:val="24"/>
          <w:vertAlign w:val="superscript"/>
        </w:rPr>
        <w:footnoteReference w:id="252"/>
      </w:r>
      <w:r w:rsidRPr="00E97E0B">
        <w:rPr>
          <w:rFonts w:ascii="Times" w:eastAsia="Calibri" w:hAnsi="Times" w:cs="Times New Roman"/>
          <w:sz w:val="24"/>
          <w:szCs w:val="24"/>
        </w:rPr>
        <w:t xml:space="preserve"> Öte yandan Fransa için göçmen ve etnik çeşitlilik konularına ilişkin bir ayrım olduğunu belirtmek gereklidir. Fransa nüfusunun önemli bir bölümü göçmen kökenli olmakla birlikte Fransa topraklarında yaşayan göçmen kökenli ve Fransız vatandaşı olanların önemi büyük olsa da Fransa’da göçmen statüsünde olup Fransız vatandaşı olmayan bir kesim de bulunmaktadır ve</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bu kesimin de bir kısmı kaçak konumundadır</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Bu kesim göçmen kökenli Fransızlarla da akrabalık ve sosyo-ekonomik yönden yakın ilişki içindedir.</w:t>
      </w:r>
      <w:r w:rsidRPr="00E97E0B">
        <w:rPr>
          <w:rFonts w:ascii="Times" w:eastAsia="Calibri" w:hAnsi="Times" w:cs="Times New Roman"/>
          <w:sz w:val="24"/>
          <w:szCs w:val="24"/>
          <w:vertAlign w:val="superscript"/>
        </w:rPr>
        <w:footnoteReference w:id="253"/>
      </w:r>
      <w:r w:rsidRPr="00E97E0B">
        <w:rPr>
          <w:rFonts w:ascii="Times" w:eastAsia="Calibri" w:hAnsi="Times" w:cs="Times New Roman"/>
          <w:sz w:val="24"/>
          <w:szCs w:val="24"/>
        </w:rPr>
        <w:t xml:space="preserve"> Bu bakımdan özellikle göçmen kökenli ve göçmen nüfusla ilgili tartışmalarda anahtar kimlik İslam kimliğidir. 2012’de seçmenin %5’inin Müslüman olduğu tahmin edildiği düşünüldüğünde Müslüman seçmenin stratejik önemi daha açık hale gelmektedir.</w:t>
      </w:r>
      <w:r w:rsidRPr="00E97E0B">
        <w:rPr>
          <w:rFonts w:ascii="Times" w:eastAsia="Calibri" w:hAnsi="Times" w:cs="Times New Roman"/>
          <w:sz w:val="24"/>
          <w:szCs w:val="24"/>
          <w:vertAlign w:val="superscript"/>
        </w:rPr>
        <w:footnoteReference w:id="254"/>
      </w:r>
    </w:p>
    <w:p w14:paraId="43F9B72E"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Bununla birlikte seçim hazırlıkları esnasında adayın kampanya stratejisinin dönemin Ulusal Cephe Partisi’nin oylarına talip olmayı gerekli kıldığı düşünülecek olursa meselenin hassasiyeti ve milliyetçi damara hitap etme gerekliliği anlaşılmaktadır. </w:t>
      </w:r>
    </w:p>
    <w:p w14:paraId="5DF5259E"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Fransa’da gelgitli seyreden göçmen politikasının iki yönlü hareketini belirleyen üç temel iç unsurun bulunmaktadır. Birincisi ve en önemlisi ülkenin ekonomik daralma veya genişlemede olması, ikincisi, bu gelişmelerin bir sonraki seçimden ne kadar önce gerçekleştiği ve üçüncü olarak, göçmen temsilcilerinin veya göçmen karşıtlarının söylemlerinin şiddetidir.</w:t>
      </w:r>
    </w:p>
    <w:p w14:paraId="20B10A4C" w14:textId="294CB909"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Cumhurbaşkanı Sarkozy de çokkültürlülük konusunda pek çok beyanda bulunmuştur. Bu beyanlara bakıldığında, Sarkozy’nin terminoloji açısından belirgin ve sabit bir bakış sunduğunu söylemek zordur ve söylemleri de yukarıda bahsi geçen unsurlara göre esnemektedir. Genel itibariyle, göçmenlere bakışının öncelikli ve ağırlıklı olarak ekonomik bir perspektifle oluştuğu anlaşılmaktadır. Ancak, özellikle 2003’ten 2005’e kadarki dönemde Sarkozy’nin daha kucaklayıcı bir yaklaşımı dillendirmeye özen gösterdiği söylenebilir. Sonrasında ise daha sert bir tonu kullandığını söylemek mümkündür, ancak başından beri Müslümanlarla ilgili yaklaşımı sabit bir görünüm vermekle birlikte zaman zaman benimseme vurgusu yaptığı konular değişmektedir. Örneğin, çokeşlilik, kadın-erkek ilişkileri ve eşitliği, kadın baş örtüsü gibi konularda Müslümanların Fransa’nın kültürüne uyum sağlamaları hususunda ısrarcıdır. Bununla birlikte buna uyum sağlamaya gönüllü olanları hem sembolik atamalarla teşvik etmiş hem de Fransa’daki Müslümanlara toplumsal barışı temin edecek şekilde yakın durmayı tercih etmiş ve bir o kadar da onları merkeze olabildiğince uzak ve olabildiğince de merkez kültür olan Katolik Hristiyanlıkla uyumlu ama hiyerarşik bir üstünlük mesafesinde olmayı kabul ettirmeye çabalamıştır. Müslüman Fransızlar ve Fransa’da yaşayan yabancı Müslümanlar, önüne set çekilmesi gereken, fakat kendilerine kontrollü bir alan açılması suretiyle oluşturdukları toplumsal baskının önlenmesi gereken, önemli bir toplumsal işgücü ve ekonomik dinamik olarak görülmüştür.  Ayrıca, Müslümanların kimliksel sembollerinin kontrollü bir görünürlükte kalması gerektiği, aksi takdirde gelecekte baskın çıkma riski söylemlerde ima edilmektedir. Bu yüzden, Fransa gibi ezici çoğunluğu Hristiyan Katolik köklere sahip bir ülkede </w:t>
      </w:r>
      <w:r w:rsidRPr="00E97E0B">
        <w:rPr>
          <w:rFonts w:ascii="Times" w:eastAsia="Calibri" w:hAnsi="Times" w:cs="Times New Roman"/>
          <w:sz w:val="24"/>
          <w:szCs w:val="24"/>
        </w:rPr>
        <w:lastRenderedPageBreak/>
        <w:t>Sarkozy söylemlerinde yarı imalı sert, yarı savunmacı ve ikna etmeye çalışır bir üslupla Müslümanlara inançlarını başkalarına dayatmamaları gerektiği mesajını vermektedir. Müslümanların ayrıca hem Asyalılarla kıyaslanarak devletin sırtından geçiniyor olduğuna dair olumsuz bir imajının hem de diğer tarafta önemli bir ekonomik işgücü potansiyeli olarak imajının iki çelişir fikri aynı anda taşıyan bir söylemde vücut bulduğu görülmektedir. Bu durum, sömürgeci geçmişin ve göç alınan ülkelerle olan tarihi ve sosyo-ekonomik bağların zorunlu kıldığı bir birliktelikle, dolayısıyla faydalarından vazgeçememekle yüklerini asgariye indirmek arasında bir yerde kalmasıyla açıklanabilir.</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Sarkozy’nin söyleminde Müslüman Fransızlar ve Fransa’daki Müslümanlar uzak kalınamayan ve fakat farklılıklarından ötürü dizginlenmesi ve varlığı mümkün mertebe sınırlandırılması gereken,</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diğer taraftan da ekonomik gerekçelerle nesneleşen bir öteki konumundadır.</w:t>
      </w:r>
    </w:p>
    <w:p w14:paraId="42E4CEA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 Sarkozy yer yer İslam otoritelerine başvurmak suretiyle Fransa’daki kanunlara uymanın dinen bir sakıncası olmadığını dile getirmiştir. Anlaşıldığı üzere, İslam’ın dini kaynaklarına başvurmak da bir enstrüman olarak başvurulan bir kaynaktır. Sarkozy bu yaklaşımıyla, Fransa İslamı ve Ilımlı İslam kavramsallaştırmalarına başvurarak da esasen Fransa Cumhuriyeti değerleriyle İslam’ı uyuşturan bir yol arayışını sürdürmüştür. Dahası söyleminde, İslam’ın genel geçer tek bir uygulama olmadığını tespit etmiş ve göç kaynağı ülkelerin İslam anlayışını kavramsallaştırdığı bu İslam’dan ayrıştırma yoluna giderek, Müslüman camianın bir kısmı açısından da kabul edilebilir bir zemin kurmuştur.</w:t>
      </w:r>
    </w:p>
    <w:p w14:paraId="5ED92D6B" w14:textId="717941D2"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Bu yol arayışı sürecinde, Fransa Müslüman İnancı Konseyi (Conseil Français du Culte Musulman) (CFCM) Sarkozy’nin icraatlarından biridir. Bu icraat</w:t>
      </w:r>
      <w:r w:rsidR="00C84DEE" w:rsidRPr="00E97E0B">
        <w:rPr>
          <w:rFonts w:ascii="Times" w:eastAsia="Calibri" w:hAnsi="Times" w:cs="Times New Roman"/>
          <w:sz w:val="24"/>
          <w:szCs w:val="24"/>
        </w:rPr>
        <w:t>ı</w:t>
      </w:r>
      <w:r w:rsidRPr="00E97E0B">
        <w:rPr>
          <w:rFonts w:ascii="Times" w:eastAsia="Calibri" w:hAnsi="Times" w:cs="Times New Roman"/>
          <w:sz w:val="24"/>
          <w:szCs w:val="24"/>
        </w:rPr>
        <w:t>, aday olduğu cumhurbaşkanlığı makamının ülkedeki birlik duygusunu zedelemeyecek bir politik yaklaşımı gerektirmesinden ve rejimin marjinal uçlarına yakın bir söylemin sahiplenilmesi seçmen nezdinde kabul edilmeyeceği ihtimalinden kaynaklı olarak ortaya konulmuştur. Sarkozy, bir televizyon programında siyasi rakiplerine ve seçim programına ilişkin değerlendirmelerde bulunduğu bir mülakatta toplumsal kategoriler hakkında gerçekleştirmeyi planladığı bir idari reformdan bahsederken şunları söylemiştir: “</w:t>
      </w:r>
      <w:r w:rsidRPr="00E97E0B">
        <w:rPr>
          <w:rFonts w:ascii="Times" w:eastAsia="Calibri" w:hAnsi="Times" w:cs="Times New Roman"/>
          <w:i/>
          <w:iCs/>
          <w:sz w:val="24"/>
          <w:szCs w:val="24"/>
        </w:rPr>
        <w:t xml:space="preserve">Fransa’da yaşarken onun kurallarına uyulur: Çokeşli olunmaz, kızlar sünnet edilmez, evde </w:t>
      </w:r>
      <w:r w:rsidRPr="00E97E0B">
        <w:rPr>
          <w:rFonts w:ascii="Times" w:eastAsia="Calibri" w:hAnsi="Times" w:cs="Times New Roman"/>
          <w:i/>
          <w:iCs/>
          <w:sz w:val="24"/>
          <w:szCs w:val="24"/>
        </w:rPr>
        <w:lastRenderedPageBreak/>
        <w:t>koyun boğazlanmaz ve cumhuriyetin kurallarına uyulur.</w:t>
      </w:r>
      <w:r w:rsidRPr="00E97E0B">
        <w:rPr>
          <w:rFonts w:ascii="Times" w:eastAsia="Calibri" w:hAnsi="Times" w:cs="Times New Roman"/>
          <w:sz w:val="24"/>
          <w:szCs w:val="24"/>
        </w:rPr>
        <w:t>”</w:t>
      </w:r>
      <w:r w:rsidRPr="00E97E0B">
        <w:rPr>
          <w:rFonts w:ascii="Times" w:eastAsia="Calibri" w:hAnsi="Times" w:cs="Times New Roman"/>
          <w:sz w:val="24"/>
          <w:szCs w:val="24"/>
          <w:vertAlign w:val="superscript"/>
        </w:rPr>
        <w:footnoteReference w:id="255"/>
      </w:r>
      <w:r w:rsidRPr="00E97E0B">
        <w:rPr>
          <w:rFonts w:ascii="Times" w:eastAsia="Calibri" w:hAnsi="Times" w:cs="Times New Roman"/>
          <w:sz w:val="24"/>
          <w:szCs w:val="24"/>
        </w:rPr>
        <w:t xml:space="preserve"> (Olumsuz Ötekini Gösterme) 2005 yılında ise Afrika kökenli göçmen nüfusun yoğunluğu ve yoksulluğun çok konuşulan bir mesele olduğu Argenteuil’e orada çıkan olaylar sonrası gittiğinde kendisini protesto esen bir kalabalık için olay anında bir vatandaşa “</w:t>
      </w:r>
      <w:r w:rsidRPr="00E97E0B">
        <w:rPr>
          <w:rFonts w:ascii="Times" w:eastAsia="Calibri" w:hAnsi="Times" w:cs="Times New Roman"/>
          <w:i/>
          <w:iCs/>
          <w:sz w:val="24"/>
          <w:szCs w:val="24"/>
        </w:rPr>
        <w:t>Bu ayaktakımından bıktınız mı? Sizi onlardan kurtaracağım</w:t>
      </w:r>
      <w:r w:rsidRPr="00E97E0B">
        <w:rPr>
          <w:rFonts w:ascii="Times" w:eastAsia="Calibri" w:hAnsi="Times" w:cs="Times New Roman"/>
          <w:sz w:val="24"/>
          <w:szCs w:val="24"/>
        </w:rPr>
        <w:t>!” (Örtmece) demesi epeyce tartışılmıştı.</w:t>
      </w:r>
      <w:r w:rsidRPr="00E97E0B">
        <w:rPr>
          <w:rFonts w:ascii="Times" w:eastAsia="Calibri" w:hAnsi="Times" w:cs="Times New Roman"/>
          <w:sz w:val="24"/>
          <w:szCs w:val="24"/>
          <w:vertAlign w:val="superscript"/>
        </w:rPr>
        <w:footnoteReference w:id="256"/>
      </w:r>
      <w:r w:rsidRPr="00E97E0B">
        <w:rPr>
          <w:rFonts w:ascii="Times" w:eastAsia="Calibri" w:hAnsi="Times" w:cs="Times New Roman"/>
          <w:sz w:val="24"/>
          <w:szCs w:val="24"/>
        </w:rPr>
        <w:t xml:space="preserve">  Bundan bir ay kadar kısa bir süre sonra “İslam’ın suç işlemeyle, katillerle ve barbarlarla bir alakası yoktur.” “İslam ve </w:t>
      </w:r>
      <w:r w:rsidR="00C84DEE" w:rsidRPr="00E97E0B">
        <w:rPr>
          <w:rFonts w:ascii="Times" w:eastAsia="Calibri" w:hAnsi="Times" w:cs="Times New Roman"/>
          <w:sz w:val="24"/>
          <w:szCs w:val="24"/>
        </w:rPr>
        <w:t>teröristlerin</w:t>
      </w:r>
      <w:r w:rsidRPr="00E97E0B">
        <w:rPr>
          <w:rFonts w:ascii="Times" w:eastAsia="Calibri" w:hAnsi="Times" w:cs="Times New Roman"/>
          <w:sz w:val="24"/>
          <w:szCs w:val="24"/>
        </w:rPr>
        <w:t xml:space="preserve"> birlikte</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düşünülmesini kabul etmiyorum.” diyerek bunun aşağılayıcı ve yaralayıcı olduğunu vurgulamıştır.</w:t>
      </w:r>
      <w:r w:rsidRPr="00E97E0B">
        <w:rPr>
          <w:rFonts w:ascii="Times" w:eastAsia="Calibri" w:hAnsi="Times" w:cs="Times New Roman"/>
          <w:sz w:val="24"/>
          <w:szCs w:val="24"/>
          <w:vertAlign w:val="superscript"/>
        </w:rPr>
        <w:footnoteReference w:id="257"/>
      </w:r>
      <w:r w:rsidRPr="00E97E0B">
        <w:rPr>
          <w:rFonts w:ascii="Times" w:eastAsia="Calibri" w:hAnsi="Times" w:cs="Times New Roman"/>
          <w:sz w:val="24"/>
          <w:szCs w:val="24"/>
        </w:rPr>
        <w:t xml:space="preserve"> Burada istisnai olarak Sarkozy’nin cumhurbaşkanı olmadan önceki iki zıt görünümlü sözüne yer verilmiştir. Bunun nedeni göreve gelmesinden önce kullanmış olduğu bu iki ifadenin oldukça açık bir şekilde ve doğrudan İslam ve Müslümanlara yönelik mesaj vermesidir. Bu ifadeler aynı zamanda sonrasında sarf ettiği ve burada incelenen sözlerini değerlendirirken Sarkozy’nin konuyla ilgili pragmatik yaklaşımını anlamak bakımından fayda sağlayacaktır. Bütün öteki tanımlanmasındaki yer yer “uyarıcı” yer yer “kollayıcı” gelgitler; esasen kontrol edilmesi gereken, ancak bir arada olunduğunu kabul eden bir söylem görünümü verdiği gibi, dönüştürülmesi gereken bir öteki konumunu da ön plana çıkarmaktadır. Fransa’da yaşarken onun kurallarına uyulması uyarısı bir örtmece içermektedir. Uyulmayan ya da direnilen kuralların uygulanması ısrarını ve uyarısını yumuşatan söylemlerinde Fransızca’da öznenin belli olmadığı ancak Türkçeye çevirirken edilgen olarak çevrilecek kimin kastedildiği belli olmayan bir yapıyı tercih etmesi dikkate değerdir.</w:t>
      </w:r>
      <w:r w:rsidRPr="00E97E0B">
        <w:rPr>
          <w:rFonts w:ascii="Times" w:eastAsia="Calibri" w:hAnsi="Times" w:cs="Times New Roman"/>
          <w:sz w:val="24"/>
          <w:szCs w:val="24"/>
          <w:vertAlign w:val="superscript"/>
        </w:rPr>
        <w:footnoteReference w:id="258"/>
      </w:r>
      <w:r w:rsidRPr="00E97E0B">
        <w:rPr>
          <w:rFonts w:ascii="Times" w:eastAsia="Calibri" w:hAnsi="Times" w:cs="Times New Roman"/>
          <w:sz w:val="24"/>
          <w:szCs w:val="24"/>
        </w:rPr>
        <w:t xml:space="preserve"> Bu örtmece cümlenin geçtiği konuşmada da doğrudan Müslümanların ve Afrika kökenlilerin adı anılmadan kullanılmaktadır ve aslında bu hatırlatmanın Afrika kökenli nüfusu kastettiği açıktır. Zira bahsi </w:t>
      </w:r>
      <w:r w:rsidRPr="00E97E0B">
        <w:rPr>
          <w:rFonts w:ascii="Times" w:eastAsia="Calibri" w:hAnsi="Times" w:cs="Times New Roman"/>
          <w:sz w:val="24"/>
          <w:szCs w:val="24"/>
        </w:rPr>
        <w:lastRenderedPageBreak/>
        <w:t>geçen uygulamalar bu grupların uygulamalarını kapsamaktadır. Devamında ise Müslümanları “kollayan” empati ifadeleri bir yandan Fransa Cumhuriyeti ile uyumlu olan Müslümanları teşvik edici ve kapsayıcı bir söylem olarak değerlendirilebilir.</w:t>
      </w:r>
    </w:p>
    <w:p w14:paraId="4CB03DA8" w14:textId="0F5167A5"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Ekim 2007’de Cu</w:t>
      </w:r>
      <w:r w:rsidR="00C84DEE" w:rsidRPr="00E97E0B">
        <w:rPr>
          <w:rFonts w:ascii="Times" w:eastAsia="Times New Roman" w:hAnsi="Times" w:cs="Times New Roman"/>
          <w:sz w:val="24"/>
          <w:szCs w:val="24"/>
        </w:rPr>
        <w:t>m</w:t>
      </w:r>
      <w:r w:rsidRPr="00E97E0B">
        <w:rPr>
          <w:rFonts w:ascii="Times" w:eastAsia="Times New Roman" w:hAnsi="Times" w:cs="Times New Roman"/>
          <w:sz w:val="24"/>
          <w:szCs w:val="24"/>
        </w:rPr>
        <w:t xml:space="preserve">hurbaşkanı Nicolas Sarkozy’nin Büyük Paris Camii iftarında yaptığı konuşmanın bir kısmı şu şekildedir: </w:t>
      </w:r>
    </w:p>
    <w:p w14:paraId="203A436E" w14:textId="0684E104" w:rsidR="002858AE" w:rsidRPr="00E97E0B" w:rsidRDefault="002858AE" w:rsidP="002858AE">
      <w:pPr>
        <w:spacing w:before="100" w:beforeAutospacing="1" w:after="100" w:afterAutospacing="1"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“…Eğer CFCM olmazsa ve meşruiyetini yitirirse, başta siz sorumluları olmak üzere tüm Fransa Müslümanları bundan zarar görür. Ayrıca iyi bildiğiniz üzere özellikle de Batı toplumlarındaki sizin de bildiğiniz İslam’a özgü ve bazı toplumlarda karşılaştığınız karşılanmadaki zorlukları açıklayan nedenlerden ötürü İslam varlığı hem iç hem de uluslararası nedenlerden ötürü karmaşık bir mevzudur</w:t>
      </w:r>
      <w:r w:rsidR="00890AF6" w:rsidRPr="00E97E0B">
        <w:rPr>
          <w:rFonts w:ascii="Times" w:eastAsia="Times New Roman" w:hAnsi="Times" w:cs="Times New Roman"/>
          <w:sz w:val="24"/>
          <w:szCs w:val="24"/>
        </w:rPr>
        <w:t>…”</w:t>
      </w:r>
      <w:r w:rsidRPr="00E97E0B">
        <w:rPr>
          <w:rFonts w:ascii="Times" w:eastAsia="Times New Roman" w:hAnsi="Times" w:cs="Times New Roman"/>
          <w:sz w:val="24"/>
          <w:szCs w:val="24"/>
          <w:vertAlign w:val="superscript"/>
        </w:rPr>
        <w:footnoteReference w:id="259"/>
      </w:r>
      <w:r w:rsidRPr="00E97E0B">
        <w:rPr>
          <w:rFonts w:ascii="Times" w:eastAsia="Times New Roman" w:hAnsi="Times" w:cs="Times New Roman"/>
          <w:sz w:val="24"/>
          <w:szCs w:val="24"/>
        </w:rPr>
        <w:t xml:space="preserve"> (Genelleştirme) (Örtüklük) (Kural Koyma) (Olumsuz Ötekini Sunma) </w:t>
      </w:r>
    </w:p>
    <w:p w14:paraId="76398DED" w14:textId="77777777"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lastRenderedPageBreak/>
        <w:t xml:space="preserve">Sarkozy’nin Bakanlığı döneminde kurulmasına önemli katkılarda bulunduğu CFCM, ile Fransa Müslümanlarının temsiliyetini artırmak ve sisteme entegre olmalarını kolaylaştırmak hedeflenmiştir. Kurumun meşruiyetini yitirmesi pek çok şekilde olabilecek olsa da ifadenin devamında yer alan imada geçen “sizin de bildiğiniz İslam’a özgü…nedenler” güvenlikle ve toplumsal uyumla alakalı meselelere gönderme yaptığı izlenimini özellikle devamında geçen ifadelerden ötürü “daha az gergin” ve “kardeşçe” olan diyalogtan bahsederken vermektedir. Konuşmanın bu kısmında bu nedenleri hitap ettiği Fransa Müslümanları’nın iyi bildiğini söylerken burada bir kural koyma ifadesi olduğu anlaşılmaktadır. Meşruiyet kaybı durumunda “başta siz sorumlular olmak üzere tüm Fransa Müslümanları’nın zarar göreceği iması Sarkozy’nin “Ödevsiz hak olmaz” söylemiyle paralel giden bir ifade olmakla birlikte, “sorumlu” kavramının tıpkı Türkçesinde olduğu gibi kurumun yöneticiliği anlamında kullanılmakla birlikte bu meşruiyet kaybından sorumlu olmayı da çağrıştırdığı düşünülebilir. İslam, şahıslara aşkın en azından herhangi bir kişi veya grubu doğrudan kastetmeyen daha soyut bir kavram olarak bir anlayış ve bir inanç sisteminin adı olduğundan, burada mesafe koyan ve ötekini olumsuz gösteren bir örtüklük ve bir kural koyma söz konusudur. </w:t>
      </w:r>
    </w:p>
    <w:p w14:paraId="1906BB6E" w14:textId="77777777" w:rsidR="002858AE" w:rsidRPr="00E97E0B" w:rsidRDefault="002858AE" w:rsidP="002858AE">
      <w:pPr>
        <w:spacing w:before="100" w:beforeAutospacing="1" w:after="100" w:afterAutospacing="1"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"Fransa bugün Avrapa’da en yüksek sayıda Müslüman inançlı veya kökenli insanın yaşadığı ülkedir. Ama bu ülke aynı zamanda İslam’a bir din olarak alan açma ve İslam’ın kamusal alana entegrasyonu açısından gerçek bir ilerleme kaydetmiş bir ülkedir. (Ulusal Övünç) Bu, kamu kudretiyle Müslümanların arasındaki diyaloğun daha huzurlu daha az gergin kısacası daha kardeşçe olduğu bu ülke sizin sayenizde böyledir.”</w:t>
      </w:r>
      <w:r w:rsidRPr="00E97E0B">
        <w:rPr>
          <w:rFonts w:ascii="Times" w:eastAsia="Times New Roman" w:hAnsi="Times" w:cs="Times New Roman"/>
          <w:sz w:val="24"/>
          <w:szCs w:val="24"/>
          <w:vertAlign w:val="superscript"/>
        </w:rPr>
        <w:footnoteReference w:id="260"/>
      </w:r>
      <w:r w:rsidRPr="00E97E0B">
        <w:rPr>
          <w:rFonts w:ascii="Times" w:eastAsia="Times New Roman" w:hAnsi="Times" w:cs="Times New Roman"/>
          <w:sz w:val="24"/>
          <w:szCs w:val="24"/>
        </w:rPr>
        <w:t xml:space="preserve"> (Kardeşlik) (Mesafe Koyma) (Empati) </w:t>
      </w:r>
    </w:p>
    <w:p w14:paraId="32512807" w14:textId="77777777"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Konuşmanın devamında Fransa’nın entegrasyon başarısı iddiası ulusal bir övünç unsuru olarak kullanılmıştır. Ek olarak, İslam’a din olarak alan açmaktan bahsedilmiştir. Bu “alan açma” ifadesi bir yerde aynı olmamayı içerir zira aynı veya eşit olan unsura alan açmak gerekmeyecektir. Farklı olan ve bir araya gelmesi zor olana alan açılması bir anlam ifade etmektedir. Müslüman topluluğun ülkedeki diğer unsurlarla olan diyaloğunun niteliklerinin ilki “daha huzurludur.” Bu diğer </w:t>
      </w:r>
      <w:r w:rsidRPr="00E97E0B">
        <w:rPr>
          <w:rFonts w:ascii="Times" w:eastAsia="Times New Roman" w:hAnsi="Times" w:cs="Times New Roman"/>
          <w:sz w:val="24"/>
          <w:szCs w:val="24"/>
        </w:rPr>
        <w:lastRenderedPageBreak/>
        <w:t xml:space="preserve">Batı toplumlarıyla ve özellikle Avrupa toplumlarıyla kıyas edilen bir olgudur. Bu sıfat olumlu bir ötekine gönderme yapmakla birlikte sonraki “daha az gergin” ifadesiyle dengelenmiş gibidir. En sondaki kardeşçe ifadesi ise hemen öncesindeki iki ifade nedeniyle tereddütlü bir kardeşlik temasıdır. Ancak burada kardeşçe ifadenin orijinalinde olduğu gibi zarf olarak kullanılmış, isim veya sıfat kullanmak suretiyle “kardeşiz” ya da “kardeştirler” şeklinde kullanılmamıştır. Başvurulan bir araç ise empatidir. Bu söylemden anlaşıldığı üzere, Fransa’nın ulusal övüncüne Müslüman toplum ortak edilmiştir. </w:t>
      </w:r>
    </w:p>
    <w:p w14:paraId="6E796FCE" w14:textId="4BD9A624" w:rsidR="002858AE" w:rsidRPr="00E97E0B" w:rsidRDefault="002858AE" w:rsidP="002858AE">
      <w:pPr>
        <w:spacing w:before="100" w:beforeAutospacing="1" w:after="100" w:afterAutospacing="1"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 xml:space="preserve">“Bu her konuda hem fikir olduğumuz anlamına gelmemektedir. (Mesafe Koyma, Örtüklük, Örtmece) Bu anlaşmazlıklarımızı bizim olan demokratik geleneklerimizle idare etme becerisine sahip olduğumuz anlamına gelir. Sizin sayenizde, Müslümanlar ve gayrimüslimler arasındaki ilişkide yükselen bir gerginliğe ülkemiz tanık olmamaktadır.  Elbette İslamofobi vakaları mevcuttur bunu </w:t>
      </w:r>
      <w:r w:rsidR="00E07B5B" w:rsidRPr="00E97E0B">
        <w:rPr>
          <w:rFonts w:ascii="Times" w:eastAsia="Times New Roman" w:hAnsi="Times" w:cs="Times New Roman"/>
          <w:sz w:val="24"/>
          <w:szCs w:val="24"/>
        </w:rPr>
        <w:t>inkâr</w:t>
      </w:r>
      <w:r w:rsidRPr="00E97E0B">
        <w:rPr>
          <w:rFonts w:ascii="Times" w:eastAsia="Times New Roman" w:hAnsi="Times" w:cs="Times New Roman"/>
          <w:sz w:val="24"/>
          <w:szCs w:val="24"/>
        </w:rPr>
        <w:t xml:space="preserve"> edemem. Fakat Fransız toplumunda onlara karşı mücadele etme konusunda çok geniş bir uzlaşı vardır…” (Mesafe Koyma Genelleştirme) (Kanı Birliği) </w:t>
      </w:r>
    </w:p>
    <w:p w14:paraId="43C314D1" w14:textId="7DA1E082"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iCs/>
          <w:sz w:val="24"/>
          <w:szCs w:val="24"/>
        </w:rPr>
      </w:pPr>
      <w:r w:rsidRPr="00E97E0B">
        <w:rPr>
          <w:rFonts w:ascii="Times" w:eastAsia="Times New Roman" w:hAnsi="Times" w:cs="Times New Roman"/>
          <w:iCs/>
          <w:sz w:val="24"/>
          <w:szCs w:val="24"/>
        </w:rPr>
        <w:t xml:space="preserve">Diyalogtaki başarıda Müslümanların paydaşlığının belirtilmesinin akabinde bu olumlu özelliğin teslim edilmesiyle karşıtlık içeren bir konuya değinilmiştir. Üstelik diyaloğun konusu olan iletişim ve uzlaşıyı zedeleyen fikir ayrılığından bahsedilmiştir. Bu diğer taraftan mesefe koymayı içermektedir. Cümledeki dolaylı anlatım koyulan mesafeyi işaret etmektedir ve ifadeyi yumuşatarak ona örtüklük kazandırılmıştır. Hemen akabinde ise tedrici bir şekilde örtüklük yerini daha açık bir anlama sahip olan “idare edilebilecek” bir “anlaşmazlık” olarak cümle içinde yer almıştır. Sonraki cümle de dilbilgisi açısından olumsuz bir cümle formuna sahiptir. Bu cümlede de olumsuz anlamla </w:t>
      </w:r>
      <w:r w:rsidR="00C84DEE" w:rsidRPr="00E97E0B">
        <w:rPr>
          <w:rFonts w:ascii="Times" w:eastAsia="Times New Roman" w:hAnsi="Times" w:cs="Times New Roman"/>
          <w:iCs/>
          <w:sz w:val="24"/>
          <w:szCs w:val="24"/>
        </w:rPr>
        <w:t>nötrlenen</w:t>
      </w:r>
      <w:r w:rsidRPr="00E97E0B">
        <w:rPr>
          <w:rFonts w:ascii="Times" w:eastAsia="Times New Roman" w:hAnsi="Times" w:cs="Times New Roman"/>
          <w:iCs/>
          <w:sz w:val="24"/>
          <w:szCs w:val="24"/>
        </w:rPr>
        <w:t xml:space="preserve"> bir “yükselen gerginlik” ifadesi kullanılmıştır. Dikkat edildiğinde ele alınan bu cümle grubunda ton, seslenilen grupla seslenen cumhuriyeti temsil eden konuşmacının arasındaki mesafeyi azaltmayı amaçlamış, yükselerek artan gerginlik ve ötekileştirmeyi kelimeleri kullanılmak suretiyle olumlu bir anlamda değerlendirilmiştir. İçerik mesafeyi azaltmaya yönelik olsa da mesafeye ilişkin olarak kullanılan ifadelerin şiddeti artmakta ve İslamofobi ile son bulmaktadır. Fransız toplumundaki geniş uzlaşı ise bir genelleştirme kategorisine örnek verilebilir. İslamofobi elbette toplumun belirli kesimlerinde olabilecek olmakla birlikte ölçümü pek mümkün olmayan bir durum </w:t>
      </w:r>
      <w:r w:rsidRPr="00E97E0B">
        <w:rPr>
          <w:rFonts w:ascii="Times" w:eastAsia="Times New Roman" w:hAnsi="Times" w:cs="Times New Roman"/>
          <w:iCs/>
          <w:sz w:val="24"/>
          <w:szCs w:val="24"/>
        </w:rPr>
        <w:lastRenderedPageBreak/>
        <w:t xml:space="preserve">olduğundan bununla mücadele de ölçülebilir bir durum değildir. Bu nedenle burada bir genelleştirme söz konusudur. </w:t>
      </w:r>
    </w:p>
    <w:p w14:paraId="2E026DD1" w14:textId="20004A71" w:rsidR="002858AE" w:rsidRPr="00E97E0B" w:rsidRDefault="002858AE" w:rsidP="002858AE">
      <w:pPr>
        <w:spacing w:before="100" w:beforeAutospacing="1" w:after="100" w:afterAutospacing="1"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“…Ülkemizin içinde bulunduğu bu barış halini kıskanan pek çokları var. Bazı aşırılıkçılar buna bir son vermek istiyorlar. Bunlar İslam adına öldürüyor ve bizi dünya çapında bir din savaşına sokmayı istiyorlar. Bunlar İslam adına konuşup onu kirletiyorlar. Onların İslam’la hiçbir alakası yok. İslam adına nefreti konuşanlar ona küfür ediyorlar. İslam adına öldürmek isteyenlerin, İslam adına şiddet isteyenlerin, İslam adına ötekinden nefret edilmesini isteyenlerin Fransa Cumhuriyeti topraklarında işleri olamaz. (Olumsuz Ötekini Sunma) Şunu açıklığa kavuşturalım. İnancını İslam’ın ilkelerine, laikliğe ve Cumhuriyete saygıyla uyarak yaşamak isteyenler Cumhuriyetin topraklarında kabul görürler.</w:t>
      </w:r>
      <w:r w:rsidR="00C53F99" w:rsidRPr="00E97E0B">
        <w:rPr>
          <w:rFonts w:ascii="Times" w:eastAsia="Times New Roman" w:hAnsi="Times" w:cs="Times New Roman"/>
          <w:sz w:val="24"/>
          <w:szCs w:val="24"/>
        </w:rPr>
        <w:t>.</w:t>
      </w:r>
      <w:r w:rsidRPr="00E97E0B">
        <w:rPr>
          <w:rFonts w:ascii="Times" w:eastAsia="Times New Roman" w:hAnsi="Times" w:cs="Times New Roman"/>
          <w:sz w:val="24"/>
          <w:szCs w:val="24"/>
        </w:rPr>
        <w:t>” (Kural İfadesi)</w:t>
      </w:r>
    </w:p>
    <w:p w14:paraId="2E3BC73D" w14:textId="77777777"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iCs/>
          <w:sz w:val="24"/>
          <w:szCs w:val="24"/>
        </w:rPr>
      </w:pPr>
      <w:r w:rsidRPr="00E97E0B">
        <w:rPr>
          <w:rFonts w:ascii="Times" w:eastAsia="Times New Roman" w:hAnsi="Times" w:cs="Times New Roman"/>
          <w:iCs/>
          <w:sz w:val="24"/>
          <w:szCs w:val="24"/>
        </w:rPr>
        <w:t>Burada İslam’a dayandırılan toplumsal barışı zedeleyen eylem ve söylemleri ortaya koyulanlardan bahsedilerek onların İslam’a zarar verdikleri ve onunla ilgilerinin olmadığı ve bu kişilerin ülke topraklarında bulunma haklarının olmadığından bahsedilmektedir. Ancak bu tarz açıkça suç içeren eylemlerin cezasının zaten her ülkede olacağı gibi Fransa’da da olduğu ve kanunun bu kişilere uygulanmasının yeterli olacağı bilinmektedir. Buna rağmen kanunun uygulanması veya uygun cezaların görülmesinden bahsetmek yerine ülke topraklarından çıkarılmaları gerektiği bahsinin amacı, dış grubun öteki konumunu vurgulamak ve pekiştirmek içindir. Burada İslam’ın öteki konumu ise bu suçları İslam değil de başka bir şey için işleyecek olanlara önermiyor olmasıdır. Devamında bu öteki konumunu netleştirecek şekilde bir kural ifadesine başvurulmuş ve laiklik ve Cumhuriyet değerleri cumhuriyet adına şart koşulmuştur ve bunu savaşın alternatifi olarak dile getirilmiştir. Bağlamdan ayrık bir şekilde değerlendirildiğinde, laiklik, barış içinde yaşamak için önerilmesi uygun bir kavram iken, Fransa’da baş örtüsü ile ilgili okullardaki kısıtlamaların laikliğin sadece bir yorumu olduğu açıktır. Hal böyleyken bu şekilde bir mesafe koyma Müslüman topluluğun ötekilik konumunun bu söylemdeki belirginliğini göstermektedir.</w:t>
      </w:r>
    </w:p>
    <w:p w14:paraId="4657409B" w14:textId="77777777" w:rsidR="002858AE" w:rsidRPr="00E97E0B" w:rsidRDefault="002858AE" w:rsidP="002858AE">
      <w:pPr>
        <w:spacing w:before="100" w:beforeAutospacing="1" w:after="100" w:afterAutospacing="1"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 xml:space="preserve">“…İşte Cumhuriyet adına iletmek istediğim mesaj budur. Bu barış halini temin etmemizi ve sağlamlaştırmamızı ve dünya çağındaki bu savaşı reddetmemizi istiyorum. Şunu da eklemek istiyorum ki İnançlar Bakanı ve Cumhurbaşkanı olarak çeşitlilik konusundaki hassasiyetimi dünyadaki her toplumun aynı ölçüde taşımasını isterdim. (Mesafe Koyma) Fransa’da İslam inancına mensup olanlara saygı duyuyoruz. Çoğunluğun Müslüman olduğu ülkelerde de farklılığa ve öteki kimliğe aynı saygının gösterilmesini temenni ederim. (Ötekileştirme) İnanmak umut etmenin bir parçasıdır ve pek muteberdir ama eğer Fransa’da çeşitlilik iyi ise </w:t>
      </w:r>
      <w:r w:rsidRPr="00E97E0B">
        <w:rPr>
          <w:rFonts w:ascii="Times" w:eastAsia="Times New Roman" w:hAnsi="Times" w:cs="Times New Roman"/>
          <w:sz w:val="24"/>
          <w:szCs w:val="24"/>
        </w:rPr>
        <w:lastRenderedPageBreak/>
        <w:t>dünyadaki tüm toplumlarda da iyi olduğu hususunu kabul edelim. Ve Fransa Müslümanlarının Fransa İslamını yaşayabilmeleri için verdiğim mücadeleyle aynı azimle şunu söylemek isterim ki başka yerlerde de, Müslüman ülkelerde yaşayanlardan başka bir inanca sahip olan veya inançsız olanlar -ki bu onların hakkıdır-   aynı şekilde kimliklerinde ve çeşitliliklerinde saygı görebilsinler. Çeşitlilik azınlıkken istenip, çoğunlukken karşı çıkılabilecek bir şey değildir. (Kural İfadesi, Durum Kavramsallaşması) Bence her yerde durum aynı olmalıdır…”</w:t>
      </w:r>
      <w:r w:rsidRPr="00E97E0B">
        <w:rPr>
          <w:rFonts w:ascii="Times" w:eastAsia="Times New Roman" w:hAnsi="Times" w:cs="Times New Roman"/>
          <w:sz w:val="24"/>
          <w:szCs w:val="24"/>
          <w:vertAlign w:val="superscript"/>
        </w:rPr>
        <w:t xml:space="preserve"> </w:t>
      </w:r>
      <w:r w:rsidRPr="00E97E0B">
        <w:rPr>
          <w:rFonts w:ascii="Times" w:eastAsia="Times New Roman" w:hAnsi="Times" w:cs="Times New Roman"/>
          <w:sz w:val="24"/>
          <w:szCs w:val="24"/>
          <w:vertAlign w:val="superscript"/>
        </w:rPr>
        <w:footnoteReference w:id="261"/>
      </w:r>
    </w:p>
    <w:p w14:paraId="1C566529" w14:textId="77777777"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iCs/>
          <w:sz w:val="24"/>
          <w:szCs w:val="24"/>
        </w:rPr>
      </w:pPr>
      <w:r w:rsidRPr="00E97E0B">
        <w:rPr>
          <w:rFonts w:ascii="Times" w:eastAsia="Times New Roman" w:hAnsi="Times" w:cs="Times New Roman"/>
          <w:iCs/>
          <w:sz w:val="24"/>
          <w:szCs w:val="24"/>
        </w:rPr>
        <w:t xml:space="preserve">Yukarıdaki konuşmada yer aldığı üzere, savaş ve barış kelimeleri konuşmanın bu kısmında art arda kullanılmıştır ve sonrasında çeşitliliğe önem verildiği dile getirilmiştir. Sonrasında, Müslümanların ötekileri için de uygulanması karşılıklığının önemi hatırlatılmıştır. Esasında bu ifade, bir çeşit farklılık vurgusudur ve bu ifadede örtülü olarak Müslümanların öteki kimlik olduğu fikri vurgulanmıştır. Çeşitliliğe dair bir kural ifadesi ile bunun bir karşılığının olması gerekliliği hatırlatılmıştır. Bu kural ifadesi aynı zamanda Sarkozy’nin ekonomi ile ilgili de sıkça yaptığı ödevsiz hak olmaz anlayışıyla da uyumludur. </w:t>
      </w:r>
    </w:p>
    <w:p w14:paraId="39738A1F" w14:textId="77777777" w:rsidR="002858AE" w:rsidRPr="00E97E0B" w:rsidRDefault="002858AE" w:rsidP="002858AE">
      <w:pPr>
        <w:spacing w:before="100" w:beforeAutospacing="1" w:after="100" w:afterAutospacing="1"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“…Hükümet içinde bile bazı üyeler bu orucu tutuyor. Bu yakınlık bize toplumun tepe noktasından en alta kadar İslam’ın ülkemizin mahrem bir bileşeni olduğunu göstermektedir. (Empati) Mücadele ettiğim bazı kişilerin hoşuna gitmeyecek de olsa İslam Fransa’nın bir parçasıdır. Şahsen Fransa’da İslam değil Fransa İslamı olsun diye savaşmış biri olarak (konuşuyorum)…”</w:t>
      </w:r>
      <w:r w:rsidRPr="00E97E0B">
        <w:rPr>
          <w:rFonts w:ascii="Times" w:eastAsia="Times New Roman" w:hAnsi="Times" w:cs="Times New Roman"/>
          <w:sz w:val="24"/>
          <w:szCs w:val="24"/>
          <w:vertAlign w:val="superscript"/>
        </w:rPr>
        <w:footnoteReference w:id="262"/>
      </w:r>
    </w:p>
    <w:p w14:paraId="208691E4" w14:textId="77777777"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iCs/>
          <w:sz w:val="24"/>
          <w:szCs w:val="24"/>
        </w:rPr>
      </w:pPr>
      <w:r w:rsidRPr="00E97E0B">
        <w:rPr>
          <w:rFonts w:ascii="Times" w:eastAsia="Times New Roman" w:hAnsi="Times" w:cs="Times New Roman"/>
          <w:iCs/>
          <w:sz w:val="24"/>
          <w:szCs w:val="24"/>
        </w:rPr>
        <w:t>Bu ifadede, hükümet ülkenin yönetim kademelerinin tepesinde olduğundan oruç gibi bir pratiği üyelerinden bazılarının yapıyor olması bir empati ifadesidir ve devamındaki Fransa İslamı kavramsallaştırmasını pekiştirmek için kullandığı anlaşılmaktadır.</w:t>
      </w:r>
    </w:p>
    <w:p w14:paraId="6597AE5E" w14:textId="77777777" w:rsidR="002858AE" w:rsidRPr="00E97E0B" w:rsidRDefault="002858AE" w:rsidP="002858AE">
      <w:pPr>
        <w:spacing w:before="100" w:beforeAutospacing="1" w:after="100" w:afterAutospacing="1"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 xml:space="preserve">“…Size Fransa İslamı için imamların formasyonunu öncelikli bir konu olarak gördüğümü belirtmiştim. Sizin de görebileceğiniz üzere Fransa İslamı ilerliyor. (Kanı Birliği) Ben sizin haklarınızı savunmak için yanınızda olacağım. Sizden isteğim de haklarınızı kullanabilmeniz için benim yanımda olmanız. Ödev olmadan hak da olmaz. (Kural İfadesi) Ve Fadela Amara’nın burada olmasından özellikle mutluluk duyuyorum zira tıpkı Rachida Dati’nin Adalet Bakanı olması gibi </w:t>
      </w:r>
      <w:r w:rsidRPr="00E97E0B">
        <w:rPr>
          <w:rFonts w:ascii="Times" w:eastAsia="Times New Roman" w:hAnsi="Times" w:cs="Times New Roman"/>
          <w:sz w:val="24"/>
          <w:szCs w:val="24"/>
        </w:rPr>
        <w:lastRenderedPageBreak/>
        <w:t>Fadela’nın Fransız Hükümeti’nde üye olması benim için çok önemli… (Empati İfadesi)”</w:t>
      </w:r>
      <w:r w:rsidRPr="00E97E0B">
        <w:rPr>
          <w:rFonts w:ascii="Times" w:eastAsia="Times New Roman" w:hAnsi="Times" w:cs="Times New Roman"/>
          <w:sz w:val="24"/>
          <w:szCs w:val="24"/>
          <w:vertAlign w:val="superscript"/>
        </w:rPr>
        <w:footnoteReference w:id="263"/>
      </w:r>
    </w:p>
    <w:p w14:paraId="0709447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İmamların devlet kontrolünde eğitim alması noktasında hem devletin entegrasyon ve güvenlik konularında kazanımlar edineceği düşüncesi hem de Müslümanların entegrasyonlarına katkı sağlayacağı düşüncesiyle kavramsallaştırdığı Fransa İslamı’nın kuvvet kazandığını söyleyen Sarkozy, Müslümanların hakları konusunda onlara destek olacağını vadetmektedir. Fransa İslamı’nın ilerleyişine muhatap kitlenin tanık olduğunu söyleyerek kanı birliği oluştuğunu kastetmektedir. Destek vaadini kural ifadesine bağlayan konuşmacı, bazı haklar verilmesine vesile olduğu gibi bunun karşılığında ortaya çıkan bir sorumluluğun olduğunu söyleyerek Müslümanlardan hem vatandaşlık düzeyinde toplumsal entegrasyon, hem de siyasi arenada kendisine ve siyasetine destek talebinde bulunmaktadır. Sonrasında ise kabinede sembolik olarak mühim olan Cezayir ve Fas asıllı hükümet üyelerini hatırlatmaktadır. Bunu aynı zamanda bir empati ifadesi olarak da görmek mümkündür; çünkü devletin en tepe noktalarında Müslüman kökenli kişilerin olması </w:t>
      </w:r>
      <w:r w:rsidRPr="00E97E0B">
        <w:rPr>
          <w:rFonts w:ascii="Times" w:eastAsia="Calibri" w:hAnsi="Times" w:cs="Times New Roman"/>
          <w:i/>
          <w:iCs/>
          <w:sz w:val="24"/>
          <w:szCs w:val="24"/>
        </w:rPr>
        <w:t xml:space="preserve">biz </w:t>
      </w:r>
      <w:r w:rsidRPr="00E97E0B">
        <w:rPr>
          <w:rFonts w:ascii="Times" w:eastAsia="Calibri" w:hAnsi="Times" w:cs="Times New Roman"/>
          <w:sz w:val="24"/>
          <w:szCs w:val="24"/>
        </w:rPr>
        <w:t xml:space="preserve">olmaya dair bir mesaj olarak almalarını sağlayacaktır. </w:t>
      </w:r>
    </w:p>
    <w:p w14:paraId="099517F3" w14:textId="77777777"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Buradaki dikkate değer husus, Fransa İslamı’na ilişkin formasyonu veren kurumun Paris Katolik Enstitüsü olmasıdır ve ele alınan paragrafın hemen öncesinde bu durumun dile getirilmesidir. Elbette Fransa’da bulunan bir eğitim kurumunun bu tarz bir formasyonu vermesi olağan bir durumdur; ancak kurumun adı sembolik düzeyde de olsa dikkate değer bir öneme sahiptir. Sarkozy konuşmalarında Fransa’nın Katolik köklerine vurgu yaparak yine Fransa’nın Müslüman olmayan bir ülke olduğunu vurgulamıştır. Üstelik Katoliklere yaptığı konuşmada laiklik eleştirisi, Müslümanlara hitap ederken laiklik övgüsü tonuyla değişmektedir. 2004’te okullarda dini sembol taşımanın yasaklanmasının arefesinde Kahire’de Sarkozy açıklama yapmış ve görüşme yapmış olduğu El Ezher İmamı’ndan aldığı teyide dayanarak özetle bunun Müslümanları hedef almadığını </w:t>
      </w:r>
      <w:r w:rsidRPr="00E97E0B">
        <w:rPr>
          <w:rFonts w:ascii="Times" w:eastAsia="Times New Roman" w:hAnsi="Times" w:cs="Times New Roman"/>
          <w:sz w:val="24"/>
          <w:szCs w:val="24"/>
        </w:rPr>
        <w:lastRenderedPageBreak/>
        <w:t xml:space="preserve">ve Fransa’nın geleneklerinin böyle olduğunu belirtmiştir. Ayrıca, Müslümanların da kanunları bu şekilde hazırlanan bir Müslüman olmayan ülkede başörtüsü zorunluluklarının olmadığını eklemiştir. Bu söyleminden de anlaşıldığı üzere, daha sonra da sıklıkla kullanacağı “Fransa İslamı” ve “Ilımlı İslam” kavramını kullandığı gibi bu kavramsallaştırmaya uygun bir pragmatik strateji arayışında olduğu görülmektedir. Öyle ki bu kavramsallaştırma Fransa’da Müslüman olanlar ile Fransa Müslümanları ayrışmasını şu ifadelerle daha somut hale getirmekte ve Müslüman konumlandırmalarını çeşitlendirmektedir. Ayrıca, çıkarılan kısıtlayıcı nitelikteki kanunları karşı gerçeklikle güçlü bir pozisyona oturtmaktadır. </w:t>
      </w:r>
    </w:p>
    <w:p w14:paraId="37C48305" w14:textId="77777777" w:rsidR="002858AE" w:rsidRPr="00E97E0B" w:rsidRDefault="002858AE" w:rsidP="002858AE">
      <w:pPr>
        <w:spacing w:before="120" w:after="120"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“…Fransa İslamı zamanla Fransa’da uygulanan büyük dinlerden biri haline gelmiştir, büyük imama da şunu belirtmek isterim ki tek bir Avrupa ülkesi bile Fransa kadar Fransa Müslümanları’nın dinlerini uygulama özgürlüklerini güvenceye almak için iş yapmamıştır…”</w:t>
      </w:r>
      <w:r w:rsidRPr="00E97E0B">
        <w:rPr>
          <w:rFonts w:ascii="Times" w:eastAsia="Calibri" w:hAnsi="Times" w:cs="Times New Roman"/>
          <w:sz w:val="24"/>
          <w:szCs w:val="24"/>
          <w:vertAlign w:val="superscript"/>
        </w:rPr>
        <w:footnoteReference w:id="264"/>
      </w:r>
      <w:r w:rsidRPr="00E97E0B">
        <w:rPr>
          <w:rFonts w:ascii="Times" w:eastAsia="Times New Roman" w:hAnsi="Times" w:cs="Times New Roman"/>
          <w:sz w:val="24"/>
          <w:szCs w:val="24"/>
        </w:rPr>
        <w:t xml:space="preserve"> (Olumsal Kendini Sunma)</w:t>
      </w:r>
    </w:p>
    <w:p w14:paraId="08E32412"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Fransa İslamı ile ilgili konuşmalarda da yer yer göze çarpan bu olumsal kendini sunma burada daha belirgin bir şekilde ve ulusal övünçle karışık bir şekilde görülmektedir. Bu, aynı zamanda bir dini topluluğa sağlanan imkanların o toplumun liderinin nezdinde tüm üyelerine seslenmek için söylenmiştir. Bu ise bir hatırlatma olarak önceki söylemlerindeki karşılık beklentisini kastetmektedir. Böylelikle ilkesel bir duruştan ziyade bir karşılıklı çıkarları uzlaştırma anlamı daha fazla ön plana çıkmaktadır.  Bununla birlikte, çeşitli kimlik ve gruplara yönelik özgürlükçü politikalar, onlara özel bir uygulama olarak ortaya konulmadan daha iyi bir şekilde de yapılabileceği düşünülmektedir</w:t>
      </w:r>
    </w:p>
    <w:p w14:paraId="0CEB846F" w14:textId="77777777" w:rsidR="002858AE" w:rsidRPr="00E97E0B" w:rsidRDefault="002858AE" w:rsidP="002858AE">
      <w:pPr>
        <w:spacing w:before="120" w:after="120"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“…Fransa çok değişti. Fransız vatandaşlarının itikatları eskisine göre çok daha çeşitli. Dolayısıyla laiklik bir gereklilik hatta şöyle diyeyim bir şans olarak ortaya çıkıyor ve iç barışın da bir koşulu oldu. Bu nedenledir ki Fransız halkı eğitim özgürlüğünü olduğu kadar okullarda görünür (dini) sembollerin yasaklanmasını savunmaya da hevesli. (Önvarsayım, Popülizm) Bu açıdan laiklik geçmişin reddi olamaz. Laikliğin gücü Fransa’yı Hristiyan köklerinden koparmaya yetmez. Bunu yapmaya kalkıştı, yapmamalıydı. (Ders Olarak Tarih)</w:t>
      </w:r>
    </w:p>
    <w:p w14:paraId="42444B26" w14:textId="77777777"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lastRenderedPageBreak/>
        <w:t>Dini sembollerin ilköğretim ve ortaöğretim kurumlarında yasak olması konusu Fransa’da uzun zamandır gündemi meşgul eden bir konudur. Bu tartışma aynı zamanda da yanlı uygulamalara neden olduğu gerekçesiyle eleştirilmiştir, çünkübaş örtüsü dini bir sembol olarak kolaylıkla ayırt edilip yasaklanabilirken haç veya benzer şekilde taşınabilecek sembollerin fiziken de kültürel olarak da görmemezlikten gelinmeye müsait olması söz konusudur. Bu durum da bir ayrımcılığa neden olabilecekken halktan yekpare bir yaklaşıma sahip gibi bahsedilmesi ve bu uygulamayı halka dayandırma söz konusudur. Bu nedenle, söyleme dair, hem bir önvarsayımdan hem de popülist bir söylem kategorisinden bahsetmek mümkündür. Ancak burada Sarkozy’nin “öteki”yi ve “bizim” tanımlamasını belirginleştiren unsur laikliği koyduğu yerdir. Sarkozy, laikliğin toplumsal barışın bir şartı olduğunu hatırlatma gereği duyduğu anlaşılmaktadır. Öte yandan, diğer inançlar söz konusu olduğundakinin aksine; laikliğin, Fransa’nın reddedilmemesi gereken Hristiyan köklerine zarar vermeye yeltenmiş olduğunu söylemekte ve bunu tasvip etmediğini belirtmektedir. Bu, Sarkozy’nin “biz”i nasıl tanımladığına dair bir ipucu olarak değerlendirilebilir.</w:t>
      </w:r>
    </w:p>
    <w:p w14:paraId="5103CCD1" w14:textId="77777777" w:rsidR="002858AE" w:rsidRPr="00E97E0B" w:rsidRDefault="002858AE" w:rsidP="002858AE">
      <w:pPr>
        <w:spacing w:before="120" w:after="120"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“16. Benoît gibi ben de tarihinin etik, ruhanî ve dini mirasını yadsıyan bir ulusun, yaşam ve düşünce biçimini böylesine derinden etkileyen kendi kültürüne, kendi tarih, miras, sanat ve toplumsal geleneklerine karşı suç işleyeceği kanısındayım. (Otorite) Kökünü yerinden sökmek, anlamı kaybetmek, ulusal kimliğin çimentosunu zayıflatmak, sembollere ve hafızaya böylesine ihtiyaç duyan toplumsal bağları kurutmak demektir. (Metafor) Bu nedenle zincirin iki ucunu da bir arada tutmalıyız: Fransa’nın Hristiyan köklerini sahiplenmeli ve hatta olgunluğa ermiş olan laikliği savunmak suretiyle ona değer katmalı. İşte bu akşam Saint-Jean de Latran’da varmak istediğim nokta buydu.”</w:t>
      </w:r>
      <w:r w:rsidRPr="00E97E0B">
        <w:rPr>
          <w:rFonts w:ascii="Times" w:eastAsia="Times New Roman" w:hAnsi="Times" w:cs="Times New Roman"/>
          <w:sz w:val="24"/>
          <w:szCs w:val="24"/>
          <w:vertAlign w:val="superscript"/>
        </w:rPr>
        <w:footnoteReference w:id="265"/>
      </w:r>
    </w:p>
    <w:p w14:paraId="19D549DE"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lastRenderedPageBreak/>
        <w:t xml:space="preserve">Sarkozy Papa’yı, dile getirdiği düşüncesine dayanak bir otorite olarak göstererek Katolik kültüre sahip çıkmamayı suç işlemeyle kıyaslamaktadır. Bir yandan Katoliklerin saf sıkılaştırmasını teşvik etme amacı taşıyan bu hitap, ülkenin çoğunluğu ve ulusal kültürünün temeli olarak gördüğü dinle sabitlemeyi de amaçlamaktadır. Burada Sarkozy’nin laiklik savunmasındaki sınırları görebileceğimiz gibi, “çimento” metaforu ve ulusal kimlik vurgusu dikkat çekicidir. Bu ifadelerle Sarkozy, söyleminde biz konumunun belirginleştiği bir yerdedir. Ayrıca, Çimento metaforu Recep Tayyip Erdoğan’ın başbakanlığı döneminde nerdeyse aynı şekilde “din bir çimentodur ve şu anda en önemli birleştirici unsurumuzdur” denilerek kullanılmıştır. İki laik devletin başkanlarının vatandaşlığının çoğunluğunun diniyle ilgili olarak bu imgeyi oluşturma iradelerinin olması, laiklik algılarını ve laikliğe atfettikleri konumu göstermesi bakımından dikkate değer ve yorumlanmaya muhtaçtır.   </w:t>
      </w:r>
      <w:r w:rsidRPr="00E97E0B">
        <w:rPr>
          <w:rFonts w:ascii="Times" w:eastAsia="Times New Roman" w:hAnsi="Times" w:cs="Times New Roman"/>
          <w:sz w:val="24"/>
          <w:szCs w:val="24"/>
          <w:vertAlign w:val="superscript"/>
        </w:rPr>
        <w:footnoteReference w:id="266"/>
      </w:r>
      <w:r w:rsidRPr="00E97E0B">
        <w:rPr>
          <w:rFonts w:ascii="Times" w:eastAsia="Times New Roman" w:hAnsi="Times" w:cs="Times New Roman"/>
          <w:sz w:val="24"/>
          <w:szCs w:val="24"/>
        </w:rPr>
        <w:t xml:space="preserve"> </w:t>
      </w:r>
    </w:p>
    <w:p w14:paraId="267F784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Seçimlere iki sene kala, kültürel milliyetçiliğiyle ve göçmen karşıtlığıyla bilinen Ulusal Cephe’nin yükselişini fark eden Sarkozy, göçmen ve İslam menşeili göçmenlere yönelik ötekileştirici söylemlere ve uygulamalara ağırlık vermiştir. “</w:t>
      </w:r>
      <w:r w:rsidRPr="00E97E0B">
        <w:rPr>
          <w:rFonts w:ascii="Times" w:eastAsia="Calibri" w:hAnsi="Times" w:cs="Times New Roman"/>
          <w:i/>
          <w:iCs/>
          <w:sz w:val="24"/>
          <w:szCs w:val="24"/>
        </w:rPr>
        <w:t>Tüm medeniyetler aynı değerde değildir… …Medeniyetimizi korumalıyız</w:t>
      </w:r>
      <w:r w:rsidRPr="00E97E0B">
        <w:rPr>
          <w:rFonts w:ascii="Times" w:eastAsia="Calibri" w:hAnsi="Times" w:cs="Times New Roman"/>
          <w:sz w:val="24"/>
          <w:szCs w:val="24"/>
        </w:rPr>
        <w:t>” diyen İçişleri Bakanı Claude Guérant’ın sözlerini  “</w:t>
      </w:r>
      <w:r w:rsidRPr="00E97E0B">
        <w:rPr>
          <w:rFonts w:ascii="Times" w:eastAsia="Calibri" w:hAnsi="Times" w:cs="Times New Roman"/>
          <w:i/>
          <w:iCs/>
          <w:sz w:val="24"/>
          <w:szCs w:val="24"/>
        </w:rPr>
        <w:t>İçişleri Bakanı erkeklere ve kadınlara aynı yeri ve hakları vermeyen bir medeniyetin, bir rejimin, bir toplumun eşit değerde olmadığını söylemiş. Bu makul.</w:t>
      </w:r>
      <w:r w:rsidRPr="00E97E0B">
        <w:rPr>
          <w:rFonts w:ascii="Times" w:eastAsia="Calibri" w:hAnsi="Times" w:cs="Times New Roman"/>
          <w:sz w:val="24"/>
          <w:szCs w:val="24"/>
        </w:rPr>
        <w:t>” şeklinde yorumlamıştır.</w:t>
      </w:r>
      <w:r w:rsidRPr="00E97E0B">
        <w:rPr>
          <w:rFonts w:ascii="Times" w:eastAsia="Calibri" w:hAnsi="Times" w:cs="Times New Roman"/>
          <w:sz w:val="24"/>
          <w:szCs w:val="24"/>
          <w:vertAlign w:val="superscript"/>
        </w:rPr>
        <w:footnoteReference w:id="267"/>
      </w:r>
      <w:r w:rsidRPr="00E97E0B">
        <w:rPr>
          <w:rFonts w:ascii="Times" w:eastAsia="Calibri" w:hAnsi="Times" w:cs="Times New Roman"/>
          <w:sz w:val="24"/>
          <w:szCs w:val="24"/>
        </w:rPr>
        <w:t xml:space="preserve"> Bu yorum kamuoyunda seçimlerde rakip Le Pen’in oylarının artmasını frenlemeye yönelik bir söylem olarak yorumlanmıştır. “Erkeklere ve kadınlara aynı hakları vermeyen medeniyet” kolaylıkla örtük biçimde belirli bir medeniyeti işaret etmektedir. Ayrıca, ifadedeki kastın özellikle bir medeniyeti tarif ettiği anlaşılmaktadır. Elbette burada herhangi bir dinin hedef alınmadığı ve diğer dinlere saygı duyulduğu, ancakbir yorumun veya bir medeniyetin kastedildiği söylenebilir vekastedilen </w:t>
      </w:r>
      <w:r w:rsidRPr="00E97E0B">
        <w:rPr>
          <w:rFonts w:ascii="Times" w:eastAsia="Calibri" w:hAnsi="Times" w:cs="Times New Roman"/>
          <w:sz w:val="24"/>
          <w:szCs w:val="24"/>
        </w:rPr>
        <w:lastRenderedPageBreak/>
        <w:t xml:space="preserve">medeniyetten gelen vatandaş veya yabancıların ülkede var olduğu göz önünde bulundurulduğunda, ülke içi bir ötekinin kastedildiği aşikardır. Bu durumda, aynı ülkede farklı medeniyetlerin temsilcilerinin olduğunun kabul edildiği ve dahil oldukları medeniyetler arasında bir tanımlanmış bir hiyerarşi olduğu görünmektedir. </w:t>
      </w:r>
    </w:p>
    <w:p w14:paraId="03352EB5" w14:textId="77777777" w:rsidR="002858AE" w:rsidRPr="00E97E0B" w:rsidRDefault="002858AE" w:rsidP="002858AE">
      <w:pPr>
        <w:spacing w:before="120" w:after="120" w:line="240" w:lineRule="auto"/>
        <w:jc w:val="both"/>
        <w:rPr>
          <w:rFonts w:ascii="Times" w:eastAsia="Calibri" w:hAnsi="Times" w:cs="Times New Roman"/>
          <w:i/>
          <w:iCs/>
          <w:sz w:val="24"/>
          <w:szCs w:val="24"/>
        </w:rPr>
      </w:pPr>
      <w:r w:rsidRPr="00E97E0B">
        <w:rPr>
          <w:rFonts w:ascii="Times" w:eastAsia="Calibri" w:hAnsi="Times" w:cs="Times New Roman"/>
          <w:sz w:val="24"/>
          <w:szCs w:val="24"/>
        </w:rPr>
        <w:t>“…Cumhuriyet eşitlikçilik değildir, dümdüz eşitlemek değildir; hakların ve şansların eşitliğini sağlamak suretiyle özgürlük demektir. (Kural İfadesi) Liyakat, çalışma ve yetenekle özgürlük demektir. Ayrıca eşitlik grupların, cemaatlerin (communauté), azınlıkların diğerlerinden farklı haklarının olmasının reddidir. Cumhuriyette cemaatçiliğe (Komüniteryenizm) yer yoktur, cumhuriyette ayrımcılığa yer yoktur, cumhuriyette azınlık haklarına yer yoktur, cumhuriyette yalnızca vatandaş haklarına yer vardır ve bu çok farklıdır. Cumhuriyette burkaya yer yoktur. Cumhuriyette bölenlere parçalayanlara yer yoktur. Cumhuriyet çoğulculuğa saygı duymaktır ama cumhuriyetin birliği içinde! Cumhuriyet kimseden kendi tarihini inkâr etmesini istemez, (Yadsıma İfadesi) kökenlerini unutmasını istemez ama kökenleri ve kendi tarihinden daha fazlasını paylaşmasını ister, değerler, bir tarih, bir kültür, bir dil yani Fransızca, bir yaşam tarzını ve hatta bizim için kadın erkek eşitsizliğinin uyuşmadığı bir medeniyet idealini paylaşmalarını ister.” Bu bizim medeniyet idealimizdir! (Kanı Birliği) Kadın erkek eşitliği</w:t>
      </w:r>
      <w:r w:rsidRPr="00E97E0B">
        <w:rPr>
          <w:rFonts w:ascii="Times" w:eastAsia="Calibri" w:hAnsi="Times" w:cs="Times New Roman"/>
          <w:i/>
          <w:iCs/>
          <w:sz w:val="24"/>
          <w:szCs w:val="24"/>
        </w:rPr>
        <w:t xml:space="preserve">!... </w:t>
      </w:r>
    </w:p>
    <w:p w14:paraId="2A4D881B"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xml:space="preserve">“…Cumhuriyet kimseden ama hiçkimseden kimliğini reddetmesini istemiyor ama herkesten ulusal kimliği paylaşmasını istiyor ve ulusal kimlik bir küfür değildir! Ulusal kimliğe bağlılık, onu muhafaza etme görevi -ifade etmeme izin verin- oldukça cumhuriyetçi bir duygudur. Size bunu kanıtlayacağım zira cumhuriyet için ulus ortak olunan bir şeydir ve bunu paylaşmak için her bir kişinin çıkarlarından daha güçlü bir ortak şeyin olması gerekir. (Kanıtsallık) Bu da bizim olan ülkemizdir. “Yaşasın Ulus” çığlıklarıyla cumhuriyeti Valmy savaş meydanlarında kuranlar cumhuriyeti ve ulusu birbirinden ayrı veya birbirleriyle ters şeyler olarak göremezler. (Ders olarak tarih, ulusal övünç) İşte bizim ulusal kimlik anlayışımız budur!” </w:t>
      </w:r>
      <w:r w:rsidRPr="00E97E0B">
        <w:rPr>
          <w:rFonts w:ascii="Times" w:eastAsia="Calibri" w:hAnsi="Times" w:cs="Times New Roman"/>
          <w:sz w:val="24"/>
          <w:szCs w:val="24"/>
          <w:vertAlign w:val="superscript"/>
        </w:rPr>
        <w:footnoteReference w:id="268"/>
      </w:r>
    </w:p>
    <w:p w14:paraId="7B6B500B"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Bu açıklamada, Sarkozy bir kural ifadesinden yola çıkmıştır ve bu çalışmada ağırlıklı olarak incelenen ekonomik ve kültürel perspektifini birbirine bağlayarak açıklamıştır. Dikkate değer bir şekilde, ekonomik perspektifini açıklarken aynı konuşma içinde eşitçiliği redderken, ifadenin devamında kültürel perspektifini eşitlik üzerinden vurgulamıştır. Bu önemli bir vurgudur; çünkü ilkinde cumhuriyetin eşitçiliğin olumsuzlanması ekonomi politikalarına göndermedir ve eşitlik yerine eşitlikçilik kavramı kullanılmıştır. Bu kavramı cümlenin devamında herkesi aynı seviyeye getirmek anlamına gelecek şekilde açıklayan konuşmacı, aynı zamanda eşitliğin savunusunu da kanun önündeki eşitlikten belirgin bir şekilde ayırdığı görülmüştür. </w:t>
      </w:r>
    </w:p>
    <w:p w14:paraId="5EEABDD7"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Sol siyasetin sosyoekonomik anlayışına karşı antitez olarak ifade edilir hatta devamında özgürlük ifadesi ile anlam güçlendirilir. Özgürlük, liberalizmin kavram setleri arasında önemli bir yere sahiptir zira özgürlük, eşitlik savunusunun alternatifi olarak sunduğu kavramların başında gelmektedir. Kültürel perspektife gelindiğinde ise, savunu bir anda eşitçileşmekte; öncelikle cemaatleşme (communautarisme) eleştirisi ve vatandaşlık düzeyinde eşitlikten bahsedilir ardından cinsiyet eşitliği savunulmuştur. Bu ifadenin farklı yer ve zamanlarda yapılmadığını ve art arda söylendiğini düşündüğümüzde eşitlik perspektifi değişiminin önemi artmaktadır. Toplumsal gruplaşma eleştirisi içinde kimseden kendi kültürünü ve tarihini unutmasının istenmediğini belirtmesinden sonra “ama” ile devam eden, “bizim olan,” “ortak olan” ve paylaşılması istenen kültürün özellikleri sayılmaktadır. Burada talep edilen genel olarak kültürel ve toplumsal farkların Fransız toplumunun kalanı lehine aynılaştırmak suretiyle ortadan kaldırılması düşüncesidir, yani gönüllü bir asimilasyon talebi söz konusudur. Paylaşılması istenen de cinsiyet eşitliği başta olmak üzere genel anlamıyla Fransız kültürüdür. Cinsiyet kastının özel anlamı ise Fransız toplumu içinde kadın giyim kuşamı üzerinden belli bir grubun kendisini bir cemaat (toplum) olarak ayrıştırdığı </w:t>
      </w:r>
      <w:r w:rsidRPr="00E97E0B">
        <w:rPr>
          <w:rFonts w:ascii="Times" w:eastAsia="Calibri" w:hAnsi="Times" w:cs="Times New Roman"/>
          <w:sz w:val="24"/>
          <w:szCs w:val="24"/>
        </w:rPr>
        <w:lastRenderedPageBreak/>
        <w:t xml:space="preserve">düşüncesidir. Bir diğer önemli husus, Müslüman toplumların kadın-erkek ilişkisiyle ve kadınla ilgili kurallarının, Avrupalı toplumlardan hatırı sayılır ölçüde farklılaşıyor olmasıdır. Burada Müslüman toplumların sosyal hayatta görünür ve etkili olacak şekilde Fransız toplumunu dönüştürmesi ihtimaline karşı bir önlem alma amacı söz konusudur. Bu nedenle de Fransız toplumunun “ortak” değerlerinin paylaşılması gerektiği mesajı öne çıkmaktadır. </w:t>
      </w:r>
    </w:p>
    <w:p w14:paraId="6E81C71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 kısımda dikkat çekici bir başka nokta ise . Konuşmacının aslında kastettiği bazı toplumların kültürel anlayışlarını sabit bir şekilde kadın-erkek eşitsizliği ile tanımlaması ve ulusu da genelleştirerek kadın-erkek eşitliğinin olduğu bir küme olarak sabitlemesidir. Bu sebeple, “Medeniyet idealimiz”in açıklaması ve sınırı konuşmanın bu kısmında kadın erkek eşitliğine indirgenmiştir. Bu kadar keskin bir biçimde tanımlanan ve konumlandırılan bu iki farklı durumun, ifadenin sonunda ortak değeri olan kadın-erkek eşitliğinde uzlaşması istenmektedir ve bu da birinin lehine taviz değil bir ortaklaşma olarak tanımlanmaktadır. Yani başta uzlaşamaz ve hatta zıt ve ortaklaşamaz olarak konumlanan iki şeyin bir diğerinde ortaklaşması talep ediliyor gibi görünmektedir. Dahası, cumhuriyette yeri olmayanları sayarken birden burkaya geçilmesi ve açıklamasını yapacak bir şekilde cümlenin hemen ardından bölenlere ve ayrıştıranlara yer yoktur ifadesi son derece çarpıcıdır. “Bölmek” ve “ayrıştırmak” “burkanın” devamında bir açıklama biçiminde sunulmuş kimlerin “böldüğü” imâ edilmiştir. Buradaki kasta göre bölücü nitelikte konumlandırılan ve bölmekle ilişkilendirilen en azından belli bir kültür dairesinin içindekilerin bazıları olduğu anlaşılmaktadır.  </w:t>
      </w:r>
    </w:p>
    <w:p w14:paraId="03BF52A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Dikkat çekici diğer bir husus ise, Konuşmacının kadın-erkek eşitliğini oldukça güçlü bir şekilde savunduğunu söylerken diğer taraftan mesele ekonomik anlamda vatandaşlık üzerinden bir genel eşitlik talebinde olanlara birkaç cümle önce “Cumhuriyet eşitlikçilik değildir” diyerek ekonomik eşitliği kendisince makbul gördüğü ulusal kimliğin dışında tutmasıdır. Burada etnik ve dinsel başkaca kültürlere kapalı ancak ekonomik farklardan kaynaklanan vatandaşlar arası eşitsizliğe açık bir tavır sergilendiği anlaşılmaktadır.  </w:t>
      </w:r>
    </w:p>
    <w:p w14:paraId="5DD2012B"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Ulusal Kimliğin kötü bir söz olarak sunulmaması gerektiği savunusu ilk bakışta tarafsız görünümlü bir ifadenin savunulması olarak düşünülebilecek olsa da ulusal kimlik aynı zamanda siyasi olarak cumhuriyetçilerin daha sıkça </w:t>
      </w:r>
      <w:r w:rsidRPr="00E97E0B">
        <w:rPr>
          <w:rFonts w:ascii="Times" w:eastAsia="Calibri" w:hAnsi="Times" w:cs="Times New Roman"/>
          <w:sz w:val="24"/>
          <w:szCs w:val="24"/>
        </w:rPr>
        <w:lastRenderedPageBreak/>
        <w:t xml:space="preserve">söylemlerinde başvurulan bir temadır. Buna bazı siyasi eğilimler ve toplumsal kesimler mesafeli yaklaşmaktadır. Bu nedenle, biraz da zıt bir mübalağaya başvurularak, ulusal kimliğin bir hakaret olmadığı söylenmiş bu şekilde dinleyici duygusal olarak ulusal övünce daha fazla teşvik edilmiştir. Burada yalnızca azınlıklar veya azınlıkların çeşitli ayrışan yaklaşımları değil; aynı zamanda sol siyasetçiler hedef alınarak onlar da bu söylemde ulusal kimliğe mesafeli olarak konumlandırılmıştır. </w:t>
      </w:r>
    </w:p>
    <w:p w14:paraId="5C83B32C"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Valmy Savaşı göndermesi Fransız Devrimi sonrasında Prusya ile yapılan önemli bir savaştır. Burada tarihsel bir gönderme ve ulusal övünç teması kullanılarak cumhuriyetin bir ulusal kimlikle ayrılamayacak bir olgu olduğu fikri savunulup bir kahramanlık ve savaş göndermesi yapılmaktadır. Dinleyicilerin heyecanını ulusal övünçle birleştirmek ve bunu bir kanıtlayıcı öğe olarak sunması, aslında herhangi bir kanıtı olmayan duygusal bir açıklamanın nasıl kanıt olarak sunulabileceğine ilişkin ilgi çekici bir örnektir.  </w:t>
      </w:r>
    </w:p>
    <w:p w14:paraId="437D960C"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“…Yabancılara oy hakkı vermek, vatandaşlığı ve milliyeti ayırmak, cumhuriyete zarar vermektir, çünkü bu cemaatçi (Komüniteryen) oya yol açmak ve belediye başkanlarını cemaatçi tehdit tehlikesine maruz bırakmak demektir. (Dramatikleştirme) Halbuki Cumhuriyet cemaatçiliği (Komüniteryenizm) tanımaz! Hiçbir cemaati! Değerli dostlarım, unutmayın Cumhuriyet laiktir (Kural İfadesi)…”</w:t>
      </w:r>
      <w:r w:rsidRPr="00E97E0B">
        <w:rPr>
          <w:rFonts w:ascii="Times" w:eastAsia="Calibri" w:hAnsi="Times" w:cs="Times New Roman"/>
          <w:sz w:val="24"/>
          <w:szCs w:val="24"/>
          <w:vertAlign w:val="superscript"/>
        </w:rPr>
        <w:footnoteReference w:id="269"/>
      </w:r>
    </w:p>
    <w:p w14:paraId="43F215E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Yukarıda ifade edilen oy hakkı, yabancıların belediye seçimlerinde oy vermesiyle ilgili haktır. Bu hak, Avrupa vatandaşlarına yalnızca yerel seçimlerde ve seçme hakkı ile sınırlı olarak verilmiştir, ancak bu hak söz konusu tartışmadan önce zaten vardı.</w:t>
      </w:r>
      <w:r w:rsidRPr="00E97E0B">
        <w:rPr>
          <w:rFonts w:ascii="Times" w:eastAsia="Calibri" w:hAnsi="Times" w:cs="Times New Roman"/>
          <w:sz w:val="24"/>
          <w:szCs w:val="24"/>
          <w:vertAlign w:val="superscript"/>
        </w:rPr>
        <w:footnoteReference w:id="270"/>
      </w:r>
      <w:r w:rsidRPr="00E97E0B">
        <w:rPr>
          <w:rFonts w:ascii="Times" w:eastAsia="Calibri" w:hAnsi="Times" w:cs="Times New Roman"/>
          <w:sz w:val="24"/>
          <w:szCs w:val="24"/>
        </w:rPr>
        <w:t xml:space="preserve">  Bu ifadelerde, söz konusu hakkın, Avrupa vatandaşları dışındakilere verilmesi tartışmasına bir gönderme yapıldığı anlaşılmaktadır. Burada tehdit olan cemaatçiliğe (Komüniteryenizm), AB vatandaşı olmayanları içermektedir. Ayrıca, cemaatçilikle ilgili detayı cümlenin devamındaki laiklik hatırlatmasından çıkarmak mümkündür. Laiklik vurgusunun Hristiyan toplumları </w:t>
      </w:r>
      <w:r w:rsidRPr="00E97E0B">
        <w:rPr>
          <w:rFonts w:ascii="Times" w:eastAsia="Calibri" w:hAnsi="Times" w:cs="Times New Roman"/>
          <w:sz w:val="24"/>
          <w:szCs w:val="24"/>
        </w:rPr>
        <w:lastRenderedPageBreak/>
        <w:t>kastetmediği, Sarkozy’nin Hristiyanlık ve laiklikle ilgili değerlendirmelerinden kolaylıkla anlaşılabileceğinden, burada diğer dini unsurların öteki şeklinde konumlandığını anlamak mümkündür. Öte yandan, konuşmanın devamında ırkçılığa kesinlikle karşı olduğu vurgu yapılmış ve Hristiyan olan değerlerin “bizim değerlerimiz” olduğu vurgusunun ardından farklı bir topluluğa ilk yapılan gönderme, kimsenin yeme içme şeklini kendi dini inançları olduğu gerekçesiyle dayatamayacağı vurgusudur. Bu vurgu, Fransa’da öncelikli olarak Müslümanları sonra küçük bir ihtimal olsa da Yahudi Topluluğunu akıllara getirmektedir. Ancak, dini yayılmacılık kastını da düşünüldüğünde, burada kastın ağırlıklı olarak Müslüman Toplumlar olduğu anlaşılmaktadır. Öteki olarak konumlanan bu grup, belediye başkanlarını baskı altına alabilecekleri gerekçesiyle tehlike olarak görülmekte ve cumhuriyetin vatandaşı olma üzerinden savunulan pozisyonun karşısındaki cemaatçiliği temsil eder şekilde konumlanmaktadır. Belediye başkanlarını “cemaatçi (Komüniteryen) tehdit tehlikesine” maruz bırakmak son derece abartılı bir dramatikleştirme örneği olarak görülebilir, çünküoturum hakları olan yabancıların çalışmasına ve yaşamasına izin verilen ve tehdit olarak görülmediği bir ülkede aynı kişilerin yerel düzeyde oy kullanılmasına izin vermek ve kendi hayatları hakkında söz söyleme hakkı tanımak en çok demokratik katılımı artırıcı ve toplumsal entegrasyonu artırıcı bir unsur olabilir. Ayrıca, burada seçilme hakkının bahsi bile geçmemektedir.</w:t>
      </w:r>
    </w:p>
    <w:p w14:paraId="393E82E7"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Göç bir olanaktır, göç bir zenginliktir fakat göçün aynı zamanda bir sorun olabileceğini kabul etmemek neden? Yalan söylemek neden? Kelimeleri kullanacak cesareti olmamak neden?... Bence göç; göçü karşılama kapasitesine, ekonomimizin durumuna, okulumuzun durumuna ve sosyal güvenlik dengesine uygun olacak şekilde denetlenmelidir (Mantıklı olma) …</w:t>
      </w:r>
      <w:r w:rsidRPr="00E97E0B">
        <w:rPr>
          <w:rFonts w:ascii="Times" w:eastAsia="Calibri" w:hAnsi="Times" w:cs="Times New Roman"/>
          <w:sz w:val="24"/>
          <w:szCs w:val="24"/>
          <w:vertAlign w:val="superscript"/>
        </w:rPr>
        <w:footnoteReference w:id="271"/>
      </w:r>
      <w:r w:rsidRPr="00E97E0B">
        <w:rPr>
          <w:rFonts w:ascii="Times" w:eastAsia="Calibri" w:hAnsi="Times" w:cs="Times New Roman"/>
          <w:sz w:val="24"/>
          <w:szCs w:val="24"/>
        </w:rPr>
        <w:t xml:space="preserve"> </w:t>
      </w:r>
    </w:p>
    <w:p w14:paraId="2E309EC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 ifadelerdeki retorik unsur, dürüstlük ve cesaret öğeleriyle zenginleştirilmiştir. Ayrıca, farklı açılardan bakıldığına dair bir izlenimi sağlayacak şekilde asıl söylemek istenilen göçü kısıtlama ve kontrol önerisinin yumuşatılmasına yönelik olarak, göçün öncelikle bir imkân, bir kaynak olduğu </w:t>
      </w:r>
      <w:r w:rsidRPr="00E97E0B">
        <w:rPr>
          <w:rFonts w:ascii="Times" w:eastAsia="Calibri" w:hAnsi="Times" w:cs="Times New Roman"/>
          <w:sz w:val="24"/>
          <w:szCs w:val="24"/>
        </w:rPr>
        <w:lastRenderedPageBreak/>
        <w:t>belirtilmiş ve sonrasında ana mesaja gelinmiştir. Sonuncu cümlede ise göçü oldukça rasyonelleştiren bir dille kapasiteye uygun bir düzeyde tutma amacı pek çok konuşmada olduğu üzere yinelenmiştir. Mantıklı olma stratejisinin bir parçası olan bu anlatı, aynı zamanda ekonomik ve ideolojik vizyonu da yansıtan bir tutarlılığı da içinde barındırmaktadır, çünküSarkozy, esasındatamamen göç karşıtı bir çizgide değildir. Göçe ve göçmenlere genel olarak işlevlerini göz önünde bulunduran faydacı bir perspektifle yaklaşmaktadır. Sarkozy’e göre göçmen fayda sağladığı düzeyde olumludur.</w:t>
      </w:r>
    </w:p>
    <w:p w14:paraId="1A48F1DF"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“…Bu bir ideoloji meselesi değildir, bu bir makul olma meselesidir ve eğer cumhuriyetçiler kendi düşüncelerini savunmaktan acizse o zaman iyi bir sıfat olan devlet adamı veya devlet kadını olma sıfatını hak etmiyorlar demektir. Bu kimseler yalnızca politika yapan kişilerdir! Tek hedefleri de.. çünkü o yüce ilkelerin, ahlak derslerinin ardında tek bir düşünce vardır: Kolay kazanılan bir seçmen kitlesi. İşte arkasında yatan neden budur! Halkın oyunu kaybedince de cemaatlerin oyunu almaya çalışırlar. İşte gerçek budur! (Olumsuz Ötekini Sunma).”</w:t>
      </w:r>
      <w:r w:rsidRPr="00E97E0B">
        <w:rPr>
          <w:rFonts w:ascii="Times" w:eastAsia="Calibri" w:hAnsi="Times" w:cs="Times New Roman"/>
          <w:sz w:val="24"/>
          <w:szCs w:val="24"/>
          <w:vertAlign w:val="superscript"/>
        </w:rPr>
        <w:footnoteReference w:id="272"/>
      </w:r>
    </w:p>
    <w:p w14:paraId="7B73B1D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Burada cumhuriyet değerlerini savunan ve bununla birlikte bu konuda sessiz kalan sol ve sağ adaylar “politika yapmakla” eleştirilmekte ve devlet adamı olma görevlerini yerine getirmemekle suçlanmaktadır. Ayrıca, seçmene yalan söylenerek oy kazandıkları ileri sürülmektedir. Burada aynı fikirde olmayan adayların cemaatleşmeye yol açtıkları ve müsamaha gösterdikleri ve bu nedenle olumsuz bir öteki oldukları savunusu görünmektedir. </w:t>
      </w:r>
    </w:p>
    <w:p w14:paraId="207B0117" w14:textId="70C37A92" w:rsidR="002858AE" w:rsidRPr="00E97E0B" w:rsidRDefault="002858AE" w:rsidP="002B7FA9">
      <w:pPr>
        <w:pStyle w:val="Heading3"/>
      </w:pPr>
      <w:bookmarkStart w:id="146" w:name="_Toc141133102"/>
      <w:r w:rsidRPr="00E97E0B">
        <w:t>4.</w:t>
      </w:r>
      <w:r w:rsidR="008F6C47" w:rsidRPr="00E97E0B">
        <w:t>2</w:t>
      </w:r>
      <w:r w:rsidRPr="00E97E0B">
        <w:t>.</w:t>
      </w:r>
      <w:r w:rsidR="002B7FA9" w:rsidRPr="00E97E0B">
        <w:t>3</w:t>
      </w:r>
      <w:r w:rsidRPr="00E97E0B">
        <w:t>. Sahraaltı Afrika</w:t>
      </w:r>
      <w:bookmarkEnd w:id="146"/>
    </w:p>
    <w:p w14:paraId="29E5A3C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Sahraaltı Afrika kolonizasyon tarihinde farklı bir yere sahiptir. Afrika’nın doğal ve beşerî kaynaklarının kullanılması sonucu Fransa’da Sahraaltı Afrika kökenli siyahi bir nüfus oluştuğundan Fransız siyasal hayatında da önemli bir yere sahiptirler. Müslüman kimlikle de yer yer kesişen siyahî kimlik, ayrı bir kategori olarak ele alınabilir. Bununla birlikte, istisnalar hariç Sarkozy’nin siyahilerle ilgili söylemi Afrika’yı ve Müslümanları genel olarak kapsayan konuşmaların içine </w:t>
      </w:r>
      <w:r w:rsidRPr="00E97E0B">
        <w:rPr>
          <w:rFonts w:ascii="Times" w:eastAsia="Calibri" w:hAnsi="Times" w:cs="Times New Roman"/>
          <w:sz w:val="24"/>
          <w:szCs w:val="24"/>
        </w:rPr>
        <w:lastRenderedPageBreak/>
        <w:t>yedirdiğini ve çoğunlukla onları doğrudan anlatmadığı anlaşılmaktadır. Sarkozy’nin, siyahi azınlığı da kapsayacak şekilde yaptığı konuşmaların en belirgini, yurt dışı ziyareti sırasında yapmış olduğu Dakar konuşmasıdır. Bir azınlık grubu, eski kolonilerden birini yaptığı ziyarette kendi ülkesinde yaptığı konuşmalara göre daha açık ve belirgin bir şekilde anlatması ve konumlandırması dikkate değer bir durumdur. Bu anlatı ve konumlandırma ihtiyacı, hem siyahilerin ülke içindeki temsil güçlerinin ve dolayısıyla onların seçmen kitlesine verilen önemin görece azlığıyla, hem de siyahi Fransızların, temsil edilme konusundaki isteksizlikleriyle açıklanabilir. Diğer yandan, diğer göçmenleri ele alırken, siyahi ve Afrika kökenli göçmen ve Fransızlardan bahsedilen konuşmalarda, bu grubun da bulunduğu hatırlanmalıdır.</w:t>
      </w:r>
    </w:p>
    <w:p w14:paraId="69C9BE25" w14:textId="21F88D8E"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Sarkozy’nin Dakar ve Libreville’de yaptığı konuşmalar ile Preoria ve Luanda’da yaptığı konuşmalar arasında ciddi farklar görmek mümkündür.</w:t>
      </w:r>
      <w:r w:rsidRPr="00E97E0B">
        <w:rPr>
          <w:rFonts w:ascii="Times" w:eastAsia="Calibri" w:hAnsi="Times" w:cs="Times New Roman"/>
          <w:sz w:val="24"/>
          <w:szCs w:val="24"/>
          <w:vertAlign w:val="superscript"/>
        </w:rPr>
        <w:footnoteReference w:id="273"/>
      </w:r>
      <w:r w:rsidRPr="00E97E0B">
        <w:rPr>
          <w:rFonts w:ascii="Times" w:eastAsia="Calibri" w:hAnsi="Times" w:cs="Times New Roman"/>
          <w:sz w:val="24"/>
          <w:szCs w:val="24"/>
        </w:rPr>
        <w:t xml:space="preserve"> Bu farkın temelinde ziyaret edilen yerlerin Fransa’nın eski kolonisi ve ilişkilerinin güçlü olduğu ülkeler olup olmamasına bağlı olduğu şeklinde yorumlanabilir. Çalışmanın çerçevesi açısından, Fransa’daki siyahi etnik azınlık düşünüldüğünde, Fransa’nın eski kolonisi olan yerlerde yapılan ve diğer iki şehirden farklı olarak öteki konumunu daha belirgin bir şekilde veren konuşmalara odanlanılmıştır. Bununla birlikte, Güney Afrika’da yapılan konuşmanın Dakar konuşması ile karşılaştırıldığında, siyahileri daha eşit gören ve daha fazla öven niteliklerini gözlemlemek mümkündür. Burada, Asya kökenli azınlıkları Müslüman ve Afrikalı göçmenlere karşı alternatif ve tercih edilen grup olarak gösterilmesi durumunu hatırlatan bir benzerliğin olduğu akla gelmektedir. Doğrudan göçmenleri veya göçü hedef alan ve genelde Müslüman kimliğinin öne çıktığı konuşmaların içine dahil edilmeden siyahileri doğrudan ötekileştiren pek bir konuşmaya rastlanmamakla birlikte özellikle Dakar konuşması, cumhurbaşkanlığı döneminde Sarkozy’nin siyahi ötekisini konumlandıran en göze çarpan bütünlüklü konuşmasıdır. Elbette, farklılıklarla ilgili cumhurbaşkanlığı döneminde gerek</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 xml:space="preserve">partisinden, gerek yakın çevresinden bazı yetkililerin yaptıkları ayrımcı ve ötekileştirici konuşmalara herhangi bir tepki vermemesi veya örtülü olarak yer yer onaylaması, söylemsel </w:t>
      </w:r>
      <w:r w:rsidRPr="00E97E0B">
        <w:rPr>
          <w:rFonts w:ascii="Times" w:eastAsia="Calibri" w:hAnsi="Times" w:cs="Times New Roman"/>
          <w:sz w:val="24"/>
          <w:szCs w:val="24"/>
        </w:rPr>
        <w:lastRenderedPageBreak/>
        <w:t>açıdan anlam ifade etmektedir.</w:t>
      </w:r>
      <w:r w:rsidRPr="00E97E0B">
        <w:rPr>
          <w:rFonts w:ascii="Times" w:eastAsia="Calibri" w:hAnsi="Times" w:cs="Times New Roman"/>
          <w:sz w:val="24"/>
          <w:szCs w:val="24"/>
          <w:vertAlign w:val="superscript"/>
        </w:rPr>
        <w:footnoteReference w:id="274"/>
      </w:r>
      <w:r w:rsidRPr="00E97E0B">
        <w:rPr>
          <w:rFonts w:ascii="Times" w:eastAsia="Calibri" w:hAnsi="Times" w:cs="Times New Roman"/>
          <w:sz w:val="24"/>
          <w:szCs w:val="24"/>
        </w:rPr>
        <w:t xml:space="preserve"> Ancak çalışmanın kapsamı ve sınırları gereği bizzat kendi söylemlerinden önemli olan noktalara değinilmiştir.</w:t>
      </w:r>
    </w:p>
    <w:p w14:paraId="7B908700" w14:textId="612B3882"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“…Afrika Gençleri! Sizinle birlikte ortak olan tarihimizle yüzleşmeye geldim. (Ders olarak</w:t>
      </w:r>
      <w:r w:rsidR="00C84DEE" w:rsidRPr="00E97E0B">
        <w:rPr>
          <w:rFonts w:ascii="Times" w:eastAsia="Calibri" w:hAnsi="Times" w:cs="Times New Roman"/>
          <w:sz w:val="24"/>
          <w:szCs w:val="24"/>
        </w:rPr>
        <w:t xml:space="preserve"> </w:t>
      </w:r>
      <w:r w:rsidRPr="00E97E0B">
        <w:rPr>
          <w:rFonts w:ascii="Times" w:eastAsia="Calibri" w:hAnsi="Times" w:cs="Times New Roman"/>
          <w:sz w:val="24"/>
          <w:szCs w:val="24"/>
        </w:rPr>
        <w:t>tarih) Afrika’nın kendi talihsizliğinde kendi sorumluluğunun payı bulunmaktadır. Afrika’da insanlar en az Avrupa’da olduğu kadar birbirini öldürdü. Ancak eskiden Avrupalılar Afrika’ya fetheden olarak gelmişlerdi. Atalarınızın topraklarını aldılar. Babalarınızın tanrılarını, dillerini, inançlarını adetlerini yasakladılar. Babalarınıza ne düşünmeleri, neye inanmaları ve ne yapmaları gerektiğini söylediler. Babalarınızı geçmişlerinden kopardılar, ruhlarını ve köklerini söküp çıkardılar. Afrika’yı çaresiz bıraktılar. Haksızlık ettiler…”</w:t>
      </w:r>
      <w:r w:rsidRPr="00E97E0B">
        <w:rPr>
          <w:rFonts w:ascii="Times" w:eastAsia="Calibri" w:hAnsi="Times" w:cs="Times New Roman"/>
          <w:sz w:val="24"/>
          <w:szCs w:val="24"/>
          <w:vertAlign w:val="superscript"/>
        </w:rPr>
        <w:footnoteReference w:id="275"/>
      </w:r>
    </w:p>
    <w:p w14:paraId="72980AF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Sarkozy’nin Dakar konuşması sıklıkla eleştirilere hedef olmuş ve seslendiği Afrika Gençliği’ni anlamadığı şeklinde yorumlanmıştır.</w:t>
      </w:r>
      <w:r w:rsidRPr="00E97E0B">
        <w:rPr>
          <w:rFonts w:ascii="Times" w:eastAsia="Calibri" w:hAnsi="Times" w:cs="Times New Roman"/>
          <w:sz w:val="24"/>
          <w:szCs w:val="24"/>
          <w:vertAlign w:val="superscript"/>
        </w:rPr>
        <w:footnoteReference w:id="276"/>
      </w:r>
      <w:r w:rsidRPr="00E97E0B">
        <w:rPr>
          <w:rFonts w:ascii="Times" w:eastAsia="Calibri" w:hAnsi="Times" w:cs="Times New Roman"/>
          <w:sz w:val="24"/>
          <w:szCs w:val="24"/>
        </w:rPr>
        <w:t xml:space="preserve"> Zira bu eleştirilerin sebebi olarak, Afrika Gençliğine seslenen başkan “ortak tarihimizle yüzleşmeye” geldiğini belirerek konuya giriş yaptıktan sonra ilk olarak Afrika’nın zorluk ve acı dolu geçmişinde Afrika’nın kendi payını hatırlatması gösterilebilir. Bu söylemsel davranışa göre, kastedilen yüzleşmenin öncelikli kısmı Afrikalıların hatalarıdır. İfade bununla bitmeyip, Afrikalıların en az Avrupa’dakiler kadar birbirlerini öldürdüğü iddiasıyla cümlesi devam etmiş ve anlam güçlenmiştir. Bu konuşmada, Afrikalıları suçlamanın yanında kıyaslama detayı göze çarpmaktadır. Burada Avrupa’nın katletmesi Afrika’nınkinden daha hafif bir düzeyde konumlandırılmış, böylelikle asıl konu olan Avrupalı kolonicilerin etken olduğu konum adeta silikleştirilmiştir. Buradan çıkacak sonuç, Afrikalılar Avrupalılardan daha fazla katletmiştir şeklindedir ve böylece sonrasında telafuz edilecek koloniciliğin sonuçları ancak bu çerçevede değerlendirilebilir. Konuşmacı tarafından, Afrika, </w:t>
      </w:r>
      <w:r w:rsidRPr="00E97E0B">
        <w:rPr>
          <w:rFonts w:ascii="Times" w:eastAsia="Calibri" w:hAnsi="Times" w:cs="Times New Roman"/>
          <w:sz w:val="24"/>
          <w:szCs w:val="24"/>
        </w:rPr>
        <w:lastRenderedPageBreak/>
        <w:t>kendi kanlı tarihiyle yüzleşmesi gereken ve kendini bugünkü çatışma ve sefalete mahkûm etmiş bir konuma oturtulmuştur. Konuşmacı, Fransa’yı temsil eden kişi olarak Afrika gençlerini tarihiyle kendi açısından bu şekilde yüzleştirmektedir. Bu konum iyice yerli yerine oturtulduktan sonra Avrupalıların Afrika’da yapmış olduğu yıkıcı ve zararlı faaliyetlere geçilmiştir. Sarkozy, kuvvetli bir şekilde öteki konumuna yerleştirdiği Afrikalılara Avrupalı fatihlerden bahsederek bir çeşit hüsn-ü tabire başvurmaktadır. Afrika’daki kolonileşme Afrikalılara fetih olarak sunularak Avrupa’nın askerî üstünlük ve egemenlik kurmasının olumsuz anlamı hafifletilmiş, hatta zımnî bir şekilde bir nebze övülmüştür. Devamında gelen fetih açıklaması olumsuz fiilleri ve bir nebze Fransa’nın kendi tarihiyle yüzleşmesini içerse de kullanılan fiiller sürekli etken biçimde kullanılmıştır. Ayrıca, bu kısımda geçen ve kolonicilerin neler yaptığını açıklayan sözler sonunda yine “haksızlık” olarak doğru ama özenle hafifletilmiş bir şekilde dile getirildiği izlenimini vermektedir. Burada açıklanan ve tahakküm ve asimilasyon kelime olarak bu durumu tanımlamak üzere kullanılmamıştır. Yapılan anlatılmış ancak adı özellikle telafuz edilmemiş gibi görünmektedir. Konuşmanın tamamında bu durum devam etmektedir. Afrikalıların kan döktüğü ifade edilen cümleden sonra Avrupalıların öldürmesinden değil yalnızca asimilasyon ve tahakkümünden bahsedilmesi de dikkat çekicidir.</w:t>
      </w:r>
    </w:p>
    <w:p w14:paraId="4DE9FBF3"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“…Kolonici geldi ve kendisine ait olmayan kaynakları ve zenginlikleri aldı, kullandı, sömürdü ve yağmaladı. Kolonize edileni kişiliğinden, özgürlüğünden, toprağından ve emeğinin meyvesinden kopardı. Aldı ama şunu da saygıyla söylemek isterim ki verdi de. (Yadsıma ve Empati) Köprüler, yollar, hastaneler, dispanserler, okullar yaptı. Bakir toprakları verimli hale getirdi, zahmetini, emeğini, bilgisini verdi. (Yadsıma ve Empati ve Dramatikleştirme) Burada şunu söylemek istiyorum. Tüm koloniciler hırsız değildi, tüm koloniciler sömürücü değildi. İçlerinde kötü insanlar vardı ama medenileştirme görevini ifa ettiğine inanan, iyilik yaptığına inanan iyi niyetli insanlar da vardı. Yanılıyorlardı ancak bazıları samimiydi. (Yadsıma) (Kurbanlaştırma) Özgürlük getirdiklerine inanıyorlardı ancak yabancılaşmaya sebep oldular. Karanlıkçılığın, batıl inançların, kulluğun zincirlerini kırdıklarına inanıyorlardı. Çok daha ağır zincileri ördüler, daha ağır bir kulluğu dayattılar zira köleleşen akıllar ve ruhlardı. İsyan ve nefret ekerken sevgi verdiklerini sanıyorlardı…”</w:t>
      </w:r>
      <w:r w:rsidRPr="00E97E0B">
        <w:rPr>
          <w:rFonts w:ascii="Times" w:eastAsia="Calibri" w:hAnsi="Times" w:cs="Times New Roman"/>
          <w:sz w:val="24"/>
          <w:szCs w:val="24"/>
          <w:vertAlign w:val="superscript"/>
        </w:rPr>
        <w:footnoteReference w:id="277"/>
      </w:r>
    </w:p>
    <w:p w14:paraId="24737F1B"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Tarihsel olarak kolonici, Sarkozy’nin temsil ettiği Fransızların atası olarak gördüğü kişilerdir. Bu söylemde gelen kolonicidir, sömüren kolonicidir, veren de kolonicidir. Yani buna göre, eyleyen ve etken olan kolonici edilgen olan ise Afrikalıdır. “Vermenin” “almanın” zıttı olarak konumlandırılması ve “saygıyla” ifadesinin geçiş olarak kullanılması ifadedeki zıtlığı güçlendirmekte ve aslında “alanların” “vermek” suretiyle telafi ettiği ima edilmiştir. Bu “telafi” aynı zamanda yapılanları görmezden gelme, önemsizleştirme, hafifletme ve yadsıma mekanizması olarak devreye sokulmuştur. Bu, tıpkı önce Afrikalıların kan döktüğünü söyledikten sonra Avrupalıların sömürdüğünden bahsetmek gibi almış olduklarını itiraf ettikten sonra bunu yadsıyacak ve aslında karşı taraftan empati beklemek gibi bir stratejiyi de içermektedir. Ayrıca, kolonicilerin zahmet, emek ve bilgisini verdiği Afrikalılardan bir empati beklendiği gibi bir dramatikleştirme gözlemlemek mümkündür, çünküzahmet, emek ve bilginin verildiği doğru da olsa kolonileşme de tıpkı diğer siyasi ve ekonomik faaliyetlerde olduğu gibi belirli bir çalışma ve bilgi paylaşımını, bir altyapı tesis etmeyi kaçınılmaz olarak gerektirmektedir. Fakat bu düzeyde bir “verme,” yani Afrika’ya, sistemi sürdürmek için yapılan yatırımlar kolonileştirmenin pratik gerekliliklerindendir ve bir fedakârlık örneği sayılmamaktadır. Ancak buradaki sunuş bunu dramatikleştirerek kolonileşmenin doğal unsurlarını bir fedakârlık ve katkı biçiminde göstermek üzerine kuruludur. Devamındaki kavramsallaştırma halihazırda bu konudaki yaklaşım belirgin hale getirilerek tüm kolonicilerin sömürücü veya hırsız olmadığı gibi bir söylem ortaya koyulmuştur ki bu durum zatenkoloniyalizmin açık bir şekilde meşrulaştırılmaya devam edildiğini göstermektedir. Kolonicinin iyisinin ve kötüsünün olduğu ayrımına dayanan bu anlatı, temelde kolonyalizmi olumlu bir anlamda anlatmaktadır. Bu söylemi destekler bir şekilde, yanlış algılarının ve </w:t>
      </w:r>
      <w:r w:rsidRPr="00E97E0B">
        <w:rPr>
          <w:rFonts w:ascii="Times" w:eastAsia="Calibri" w:hAnsi="Times" w:cs="Times New Roman"/>
          <w:sz w:val="24"/>
          <w:szCs w:val="24"/>
        </w:rPr>
        <w:lastRenderedPageBreak/>
        <w:t xml:space="preserve">düşüncelerinin kurbanı olan ve masumlaştırılan bir kolonyalist imajı çizildiği görülmektedir. </w:t>
      </w:r>
    </w:p>
    <w:p w14:paraId="7DE002E0" w14:textId="77777777" w:rsidR="002858AE" w:rsidRPr="00E97E0B" w:rsidRDefault="002858AE" w:rsidP="008F05F8">
      <w:pPr>
        <w:spacing w:before="120" w:after="0" w:line="240" w:lineRule="auto"/>
        <w:jc w:val="both"/>
        <w:rPr>
          <w:rFonts w:ascii="Times" w:eastAsia="Calibri" w:hAnsi="Times" w:cs="Times New Roman"/>
          <w:sz w:val="24"/>
          <w:szCs w:val="24"/>
        </w:rPr>
      </w:pPr>
      <w:r w:rsidRPr="00E97E0B">
        <w:rPr>
          <w:rFonts w:ascii="Times" w:eastAsia="Calibri" w:hAnsi="Times" w:cs="Times New Roman"/>
          <w:sz w:val="24"/>
          <w:szCs w:val="24"/>
        </w:rPr>
        <w:t>“…Kolonizasyon Afrika’nın günümüzdeki tüm zorluklarının sorumlusu değildir. Afrikalıların kendi aralarında yaptıkları kanlı savaşların sorumlusu değildir. Soykırımların sorumlusu değildir. Diktatörlerin sorumlusu değildir. Fanatizmin sorumlusu değildir. Yolsuzluk ve rüşvetin sorumlusu değildir. İsrafın ve kirliliğin sorumlusu değildir. Fakat kolonizasyon her şeyi verdiklerini düşünenlerin ve kendilerine neden bu kadar öfkelenildiğini anlamayanların verdiği keder ve ızdırapla ödenmiş olan büyük bir hatadır…”</w:t>
      </w:r>
      <w:r w:rsidRPr="00E97E0B">
        <w:rPr>
          <w:rFonts w:ascii="Times" w:eastAsia="Calibri" w:hAnsi="Times" w:cs="Times New Roman"/>
          <w:sz w:val="24"/>
          <w:szCs w:val="24"/>
          <w:vertAlign w:val="superscript"/>
        </w:rPr>
        <w:footnoteReference w:id="278"/>
      </w:r>
    </w:p>
    <w:p w14:paraId="15DB43F0"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Burada Afrika’nın yüzyıllardır kolonyalizm ve kölecilikten gördüğü zarardan kolonyalizmi sorumsuz ve arınmış bir şekilde tanımlayan konuşmacı, Afrika’nın geçmişinde ve bugününde var olan gelir dağılımı adaletsizliklerinim ve çatışmaların kolonicilerden kaynaklanmadığını iddia etmekte ve aynızamanda kolonicileri iyi niyetli olarak tanımlamaktadır. Yüzyıllardır Afrika’daki varlığını ve hakimiyetini Afrika elitleri ve kendi vatandaşlarının ekonomik faaliyetleri üzerinden çeşitli şekillerde sürdüren Fransa’nın, Afrika’daki en temel ve ciddi sorunlardan sorumsuz addedilmesi “biz”in sorumsuz ve böylece yalnızca “onları” sorumlu hale getirmektedir.  ‘Ne yaptığını bilmeyen safça ve iyi niyetle Afrika’ya “her şeyi” verdiğini düşünen ve vermeye çalışan masum ve fedakâr’ koloniciler, konuşmacıya göre yaptıkları “hataları” göremeyen bir “biz” dairesi içindedir. Ancak bu tanım elbette “biz” ifadesi kullanılarak oluşturulmamıştır. Bunun yerine cümlelerde üçüncü şahıs kullanmaya özen gösterilmiştir. Zira bu kişiler “biz” olarak dillendirilseydi onlardan kaynaklanan sorumluluk her ne kadar hafifletilse de konuşmacının da özür borçlu olmasını gerektirecektir. Oysaki konuşmacı bu konuda herhangi bir özrü dillendirmemiştir. </w:t>
      </w:r>
    </w:p>
    <w:p w14:paraId="17CA0BB5"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xml:space="preserve">“…Kolonizasyon büyük bir hataydı ama bu büyük hatadan ortak bir yazgının embriyosu doğdu. Bu düşünce bilhassa büyük bir önem taşımaktadır. Kolonizasyon Avrupa’nın ve Afrika’nın kaderini değiştiren ve birleştiren bir hataydı. (Durum tanımı, Ders olarak tarih) Bu ortak kader Avrupa savaşlarına gelip ölen Afrikalıların kanlarıyla mühürlenmiştir. Ve Fransa özgürlüğü için dökülen bu kanı unutmaz. (Dramatikleştirme) Kimse hiçbir şey olmamış gibi davranamaz. Kimse bu hata </w:t>
      </w:r>
      <w:r w:rsidRPr="00E97E0B">
        <w:rPr>
          <w:rFonts w:ascii="Times" w:eastAsia="Calibri" w:hAnsi="Times" w:cs="Times New Roman"/>
          <w:sz w:val="24"/>
          <w:szCs w:val="24"/>
        </w:rPr>
        <w:lastRenderedPageBreak/>
        <w:t>işlenmemiş gibi yapamaz. Kimse bu tarihi inkâr edemez. (Empati) İyisiyle kötüsüyle kolonizasyon Afrika insanını ve Avrupa insanını değiştirmiştir. Afrika’nın Gençleri! Sizler en eski Afrika geleneklerinin mirasçısısınız. Sizler Batı’nın Afrika’nın ruhuna ve kalbine bıraktığı her şeyin mirasçısısınız. Afrika Gençleri! Avrupa Medeniyeti sizin atalarınızdan daha üstün olduğunu düşünmekte haksızdı. Ama artık Avrupa Medeniyeti size de aittir…”</w:t>
      </w:r>
      <w:r w:rsidRPr="00E97E0B">
        <w:rPr>
          <w:rFonts w:ascii="Times" w:eastAsia="Calibri" w:hAnsi="Times" w:cs="Times New Roman"/>
          <w:sz w:val="24"/>
          <w:szCs w:val="24"/>
          <w:vertAlign w:val="superscript"/>
        </w:rPr>
        <w:footnoteReference w:id="279"/>
      </w:r>
    </w:p>
    <w:p w14:paraId="3D2FD71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Kolonizasyon her ne kadar bir “hata” olarak tanımlansa da bu hatanın Afrika’nın en büyük sorunlarında bile payı olmadığını öne süren konuşmacı, önemsizleştiridiği bu hatayı beyan ettiği olumlu bir sonuçla iyice zayıflatmış gibi görünmektedir. Ayrıca, konuşmacıya göre, ortak bir kaderi doğuran bu hata aynı zamanda Avrupa Medeniyeti’ni Afrikalılara da ait kılmaktadır. Burada dikkat çeken bir diğer nokta sorunlarında kolonicilerin payının olmadığı Afrika’nın gençlerinin Avrupa Medeniyeti’ne ortak olmasıdır. Böylesine bir kader ortaklığı içinde iken Afrika’nın soykırım ve diktatörlerden kolonicilerin veya Avrupalıların sorumlu tutmaması tutarlılık açısından oldukça zayıftır. </w:t>
      </w:r>
    </w:p>
    <w:p w14:paraId="6F5BCAB2"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Bir diğer önemli nokta ise “her şeyi verdiklerini düşünen” aynı kolonicilerin kendilerinin daha üstün olduğunu düşünüyor olmuş olmasıdır. Aynı kişilerin bir yandan, “Afrika’yı çaresiz” bırakan kişiler olmasıdır. Aynı konuşma içinde sömüren ve yağmalayanlar, her şeyi veren iyi niyetli ve samimi kişiler olarak tekrar tanımlanmıştır. </w:t>
      </w:r>
    </w:p>
    <w:p w14:paraId="2F7C0F18" w14:textId="77777777" w:rsidR="002858AE" w:rsidRPr="00E97E0B" w:rsidRDefault="002858AE" w:rsidP="008F05F8">
      <w:pPr>
        <w:spacing w:before="120" w:after="120" w:line="360" w:lineRule="auto"/>
        <w:ind w:firstLine="708"/>
        <w:jc w:val="both"/>
        <w:rPr>
          <w:rFonts w:ascii="Times" w:eastAsia="Calibri" w:hAnsi="Times" w:cs="Times New Roman"/>
          <w:sz w:val="24"/>
          <w:szCs w:val="24"/>
        </w:rPr>
      </w:pPr>
      <w:r w:rsidRPr="00E97E0B">
        <w:rPr>
          <w:rFonts w:ascii="Times" w:eastAsia="Calibri" w:hAnsi="Times" w:cs="Times New Roman"/>
          <w:sz w:val="24"/>
          <w:szCs w:val="24"/>
        </w:rPr>
        <w:t xml:space="preserve">Burada, koloniciler ifadesi, Batı, Fransa, Avrupa kavramları aslen aynı menşei ifade edecek şekilde kullanılmaktadır. Dolayısıyla, biri diğerinin yerine geçen kavramlar olarak görülebilir. Üstünlük temasına değinilerek, Batı’nın kendisini Afrika’dan üstün görmüş olduğu atalarının yaptığı bir hata olarak kabul edilerek uzaklaştırılmakla birlikte Afrika’nın ruhuna ve kalbine bırakılanların neler olduğu yalnızca Avrupa medeniyetine tekabül edecek şekilde vurgulanmaktadır. . </w:t>
      </w:r>
      <w:r w:rsidRPr="00E97E0B">
        <w:rPr>
          <w:rFonts w:ascii="Times" w:eastAsia="Calibri" w:hAnsi="Times" w:cs="Times New Roman"/>
          <w:sz w:val="24"/>
          <w:szCs w:val="24"/>
        </w:rPr>
        <w:lastRenderedPageBreak/>
        <w:t xml:space="preserve">Atalardan bahsedilirken gençlere seslenilmesi de bu uzaklaştırmayı desteklemektedir. Konuşmada önemli diğer bir husus, Afrika’yı konuşma boyunca bir bütün olarak ele almış olmasıdır. Bu tür bir konuşma tarzının Güney Afrika’daki konuşmalarında olduğuve eski Fransız kolonisinde rastlanmamış oluşu dikkate değerdir. </w:t>
      </w:r>
    </w:p>
    <w:p w14:paraId="455BCC1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Hataların işlendiğini ve ortak tarihi reddetmenin imkansızlığını üç farklı cümleyle üst üste vurgulayan konuşmacı, Afrika’nın Fransa’nın özgürlüğü için döktüğü kanı unutmayacağını bir vefa ifadesi olarak vurgulamaktadır. Bu vurgulama, dinleyiciyi, konuşmacının dinleyiciy, yakınlaştırmak için özellikle kullanıldığını düşündürmektedir. Konuşmada, empatinin en güçlü şekilde kurulduğu yerde kolonizasyon geçmişinin iyisi ve kötüsü olduğu fikri cümlenin içine yedirilmiştir. Burada konuşmacının pozisyonunu korumayı amaçladığı anlaşılmaktadır. Afrika’nın Batı tarafından değiştirildiğini ve -inşa edildiğini- ve sömürüldüğünü kabul eden ifadelerde, tüm bu değişikliklerin mirasçısının Afrikalılar olduğu ilan edilmektedir.  Afrikalıların yaşadığı baskı, zulüm ve öldürmeden sorumlu tutulması ve bu konuda Batı sorumluluğunu kabul etmemesi, ekonomik koşulların sosyal ve siyasi etkilerini kabul etmeme gibi pek de gerçekçi olmayan bir </w:t>
      </w:r>
      <w:r w:rsidRPr="00E97E0B">
        <w:rPr>
          <w:rFonts w:ascii="Times" w:eastAsia="Calibri" w:hAnsi="Times" w:cs="Times New Roman"/>
          <w:i/>
          <w:iCs/>
          <w:sz w:val="24"/>
          <w:szCs w:val="24"/>
        </w:rPr>
        <w:t>öteki</w:t>
      </w:r>
      <w:r w:rsidRPr="00E97E0B">
        <w:rPr>
          <w:rFonts w:ascii="Times" w:eastAsia="Calibri" w:hAnsi="Times" w:cs="Times New Roman"/>
          <w:sz w:val="24"/>
          <w:szCs w:val="24"/>
        </w:rPr>
        <w:t xml:space="preserve"> pozisyonu dayattığını göstermektedir. Öte yandan, konuşmada, öteki olarak Afrikalı ve biz olarak Avrupalı pozisyonlarının yeterince net olmadığı anlaşılmaktadır.</w:t>
      </w:r>
    </w:p>
    <w:p w14:paraId="6DB11C97"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“…Size Afrika Medeniyetinin değerlerinden utanmamanızı söylemeye geldim. (Empati) Bu değerler sizi aşağıya değil yukarıya götürür, bu değerler modern insanı köleleştiren materyalizm ve bireyciliğe panzehirdir. Bu değerler insanlıktan uzaklaşmanın ve dünyanın düzleşmesinin karşısındaki en değerli mirastır. Size doğayla yeniden bir araya gelme ihtiyacı içinde olan modern insanın, binlerce yıldır doğayla bütünleşik bir şekilde yaşayan Afrika insanından öğrenecek çok şeyi olduğunu söylemeye geldim…”</w:t>
      </w:r>
      <w:r w:rsidRPr="00E97E0B">
        <w:rPr>
          <w:rFonts w:ascii="Times" w:eastAsia="Calibri" w:hAnsi="Times" w:cs="Times New Roman"/>
          <w:sz w:val="24"/>
          <w:szCs w:val="24"/>
          <w:vertAlign w:val="superscript"/>
        </w:rPr>
        <w:footnoteReference w:id="280"/>
      </w:r>
    </w:p>
    <w:p w14:paraId="3EA2BA5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Afrikalı gençlere medeniyetlerinden utanmamalarını söyleyen bu insancıl görünümlü tavır, bir empati ifadesi olarak kullanılmakla birlikte, konuşmacının </w:t>
      </w:r>
      <w:r w:rsidRPr="00E97E0B">
        <w:rPr>
          <w:rFonts w:ascii="Times" w:eastAsia="Calibri" w:hAnsi="Times" w:cs="Times New Roman"/>
          <w:sz w:val="24"/>
          <w:szCs w:val="24"/>
        </w:rPr>
        <w:lastRenderedPageBreak/>
        <w:t>sunduğu Afrikalı’nın öteki konumu hakkında üstünlükçü bir bakışı ima etmektedir. Değerlerinizden utanmayın çağrısı, Afrikalıların kendi değerlerinden ve medeniyetlerinden utandıklarını düşündüğünü göstermektedir. Bu söylem, değerlerden -ki bu değerlerden bahsetmek bu değerlerin yekpare bir Afrikalı kimliği bünyesinde olduğunu da varsaymaktadır- utanılmasını anlayabildiğini göstermekte ve öteki karşısında üstün bir konumlanmayı içermektedir. Konuşmanın devamında, Afrikalı kimliği ve medeniyetini övücü nitelikli ifadeler bile bu bakışın izlerini taşımaktadır. Dikkate değer bir diğer nokta modern insan-Afrika insanı zıtlığının nasıl kurgulandığıdır. “Doğayla bütünleşik Afrika insanı” her ne kadar dillendirilmese de bireyci ve materyalist olarak tanımlanan “modern insana” zıtlık içinde konumlanmakta ve bu modernlik eleştirisine, binyıllardır doğa ile iç içe olan Afrika insanı çok şey öğretecek konumdadır. Bu ifadeler, Afrika medeniyetini, doğayla bütünleşik olmanın ötesinde fazla bir şeye sahip olmayan ve öğretebileceği şeylerinin ana hatları doğa ile bütünleşik olmasına bağlı bir medeniyet imajıyla temsil etmektedir. Modern insanın materyalizm ve bireycilikle köleleştiği fikri ayrı bir entelektüel tartışma konusu olmakla birlikte, bu konuşma çerçevesinde, doğa durumuna yakın bir yerde tasvir edilmesi dolayısıyla kendisine ilkel bir konum tayin edilen Afrika insanının, soyut ve entelektüel anlamda değil, bilakis yüzyıllarca Batı medeniyeti tarafından köleleştirildiği düşünülecek olursa, bu bağlamdaki ifadelerin Afrika övgüsü görünümüne karşın, Afrikalı’nın “modern” Batı medeniyeti karşısında yeniden konumlandırıldığını düşündürmektedir. Modern Batılı imajına karşı ilkel ve doğayla bütünleşik Afrikalı imajı, bu söylemsel strateji ile pekiştirilmektedir. Burada, beyaz üstünlüğü fikrinin söylemde yeniden inşa edildiği tespiti yerinde olacaktır.</w:t>
      </w:r>
    </w:p>
    <w:p w14:paraId="03D2EA88"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xml:space="preserve">“…Size bu iki parçanızın arasındaki çatlağın, birleştirmeye çabalayıp çabalamamanıza bağlı olarak sizin en büyük gücünüz ve en zayıf yönünüz olduğunu söylemeye geldim. Afrika Gençleri! Size Avrupa ve Afrika’nın olan sizdeki bu iki mirasın, bilgeliğin, geleneğin uzun yıllar savaştığını da söylemeye geldim. (Ders olarak Tarih) Afrikalı tarafınızla Avrupalı tarafınızın parçalanmış, sizin bölünmüş kimliğinizi oluşturduğunu söylemeye geldim. (Dramatikleştirme, Genelleme, Durum Tanımı) Afrika Gençleri! Size ders vermeye gelmedim. (Örtmece) Size ahlak dersi vermeye gelmedim ama size sizdeki Avrupa tarafının, Batı’nın gururunun, büyük günahının meyvesi olduğunu ve fakat değersiz olmadığını söylemeye geldim, zira o, özgürlüğün, gelişimin, adaletin ve kadınların ve erkeklerin eşitliğinin çağrısıdır. (Ulusal Övünç) Afrika’nın trajedisi Afrika insanının tarihe yeterince girmemesidir. (Dramatikleştirme) Binlerce yıldır </w:t>
      </w:r>
      <w:r w:rsidRPr="00E97E0B">
        <w:rPr>
          <w:rFonts w:ascii="Times" w:eastAsia="Calibri" w:hAnsi="Times" w:cs="Times New Roman"/>
          <w:sz w:val="24"/>
          <w:szCs w:val="24"/>
        </w:rPr>
        <w:lastRenderedPageBreak/>
        <w:t>mevsimlerle yaşayan Afrika köylüsünün ideali doğayla uyum içinde yaşamaktır ve sonsuz bir şekilde aynı hareketler ve sözlerle tekrar eden ritmik zamanın yeniden başlaması dışında bir şeyi bilmez. Bu her şeyin yeniden başladığı hayali içinde ne insanın macerasına yer vardır ne de ilerleme fikrine. Doğanın her şeyi emrettiği bu evrende insan modern insanı kıskacına alan tarihin ızdıraplarından kaçar ama insan her şeyi önceden yazılmış gibi görünen değiştirilemez bir düzenin orta yerinde hareketsiz kalır. İnsan asla geleceğe atılmaz, aklına asla kendine bir yazgı edinmek için tekrardan çıkmak gelmez. Afrika’nın sorunu -bir Afrika dostunun bunu söylemesine izin verin- işte budur. Afrika’nın üstesinden gelmesi gereken mesele tarihe daha fazla girmektir. Ondaki kendi tarihini dinleme ve benimseme enerjisini, gücünü, isteğini, iradesini bulmasıdır. Afrika’nın sorunu tekrar etmeyi ve sürekli aynı şeyleri söylemeyi bırakmak ve sonsuz bir şekilde geriye dönmekten kendini kurtarması, durmadan yad ettiği altın çağının aslında hiçbir zaman olmamış olması nedeniyle geri gelmeyeceğinin bilincine varmasıdır. (Durum Kavramsallaştırması) Afrika’nın sorunu anı çocukluğunun kayıp cennetinin nostaljisiyle fazlaca yaşamasıdır. Afrika’nın sorunu şimdiki zamanı tamamen hayali olan ve kimsenin canlandırmayı umamayacağı kökenlerin saflığına göre yargılamasıdır. Afrika’nın sorunu şimdiki zamana katlanabilmek için az çok mitik bir geçmiş yaratması değildir, kendisine ait imkanlarla bir gelecek inşa etmektir. Afrika’nın sorunu kendisini sefaletin sanki sonsuza kadar kendisini tekrar edecek olan geri gelişine hazırlamak değil, onu önlemek için imkân edinmek istemesidir. Zira Afrika dünyadaki tüm kıtaları gibi mutluluğu hak etmektedir. Afrika’nın sorunu hareketsiz kalmadan kendisine sadık kalabilmektir. Afrika’nın başarması gereken evrensele doğru yükselişini kendini inkâr etmek olarak değil bir tamamlanma olarak görebilmesidir. Afrika’nın sorunu kendisini tüm insan medeniyetlerinde evrensel olan her şeyin mirasçısı olarak görmeyi öğrenmesidir…”</w:t>
      </w:r>
      <w:r w:rsidRPr="00E97E0B">
        <w:rPr>
          <w:rFonts w:ascii="Times" w:eastAsia="Calibri" w:hAnsi="Times" w:cs="Times New Roman"/>
          <w:sz w:val="24"/>
          <w:szCs w:val="24"/>
          <w:vertAlign w:val="superscript"/>
        </w:rPr>
        <w:footnoteReference w:id="281"/>
      </w:r>
    </w:p>
    <w:p w14:paraId="4D7C17DB"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Burada oryantalist yaklaşıma benzer bir şekilde, indirgemeci öteki konumunun kullanıldığı görülmektedir. Bu, her ne kadar Sahraaltı Afrika’da ortaya koyulan bir söylem olsa da çalışma çerçevesinde konuşmacının Fransa’daki Afrikalılar hakkındaki perspektifini sunmak bakımından önem arz etmektedir. Konuşmanın önceki bölümünde kolonicilerin Afrika’ya yaptıkları haksızlıklardan bahseden konuşmacı, söz konusu çatlağı tamir etme sorumluluğunu Afrika Gençlerine bırakmıştır. Ayrıca, bunu en zayıf ve en güçlü yön olarak tanımlayan Sarkozy, Afrikalı kimliğini, binlerce yıldır değişime direnen kendi ibtidai kültürü ile Avrupa etkisi arasında kalan ve bunları uzlaştırmaktan başka seçeneği olmayan bir yerde tanımlamaktadır. Üstelik bu iki kültürün tarihsel süreçte çatıştığını hemen sonraki cümlede kabul ettiği görülmektedir. Bu durumda Afrikalılara, gerçekleştirmesi oldukça güç bir şeyi gerçekleştirmek gibi ikircikli bir “sorumluluk” yüklemektedir. Söz konusu “sorumluluk” mecburiyetle karışık bir biçimde sunulan bir dayatma içeriyor gibi görünmektedir. Ders olarak tarihe başvurulan bu kısımda, parçalanmış ve bölünmüş kimlikli olarak tanımladığı Afrikalıları eşit olarak gördüğüne dair bir ifade kullanmadığını söylemek mümkündür. </w:t>
      </w:r>
    </w:p>
    <w:p w14:paraId="2CAC0C1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Metnin devamında Afrika köylüsü tanımı üzerinden Afrika kimliğini, Afrika köylüsüne indirgemiş ve genişçe tasvir etmiştir. Konuşmanın devamı bu tanımla Afrikalı’ya bir “dost” olarak öğüt vermeyi ve Afrikalı’nın durumunu “dürüstçe” doğrudan kendisine söylemeyi kapsamaktadır. Afrikalı tasviri, zamanın kendisi için durduğu, mevsimlere göre yaşayan, hayali bir geçmişe sığınan, Batı’nın kendisine acı bir reçeteyle ve bazı bedeller ödeterek de olsa sunma lütfunu gösterdiği ve aslında kendisinde bulunan evrensel değerleri benimsemekte zorlanan bir “olgunlaşmamış insan” stereotipine karşılık gelmektedir. </w:t>
      </w:r>
    </w:p>
    <w:p w14:paraId="5F58BEE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Tüm medeniyetler için evrensel olduğunu kabul ettiği değer ve pratikleri, kıtanın tamamını kapsayacak bir şekilde kıtalıların “öğrenmeye direnç” </w:t>
      </w:r>
      <w:r w:rsidRPr="00E97E0B">
        <w:rPr>
          <w:rFonts w:ascii="Times" w:eastAsia="Calibri" w:hAnsi="Times" w:cs="Times New Roman"/>
          <w:sz w:val="24"/>
          <w:szCs w:val="24"/>
        </w:rPr>
        <w:lastRenderedPageBreak/>
        <w:t>gösterdiğini kasteden ve sebebini açıklamaksızın kıtanın sakinlerini bu direnç sebebiyle dünyanın geri kalanından ayıracak bir genelleme ile geri kalmışlığı bile isteye tercih ettikleri kanısıyla yargılayan bir önerme sunduğu anlaşılmaktadır.</w:t>
      </w:r>
    </w:p>
    <w:p w14:paraId="6AA050A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Sorumluluk yükleyerek seçenek sunan, tarihsel vakalara gönderme yaparak yorumlar yapan ve hatta ifadelerinde “size … söylemeye geldim” diyen Sarkozy’nin Afrika Gençliğine öğüt veren ifadelerinin ortasında “ders vermeye gelmedim” demesi dikkate değerdir. Zira konuşmacının üstün olduğunu ve hatta karşısında “siz” olarak hitap ettiği toplumu Afrika toplumuna indirgemesi ve konumlarının iyileşmesini istiyorlarsa ne yapmaları gerektiğine dair kullandığı ifadeler, baştan aşağı ders verici bir üslupla kurulmuştur. Batılı’nın Afrikalı’ya Yukarıdan bakma meyilini yansıtan ve aynı zamanda geçmiş kolonici bakışı tanımlayan bir ifade olarak Batının “büyük günahının meyvesi” diyerek Batı’nın gururunu kastetmektedir. Bu gururun bir sonucu ve yansıması olarak Afrikalıların Batılı “tarafını” temsil ettiği düşüncesi bu konuşmada kendini göstermektedir. Dahası “değerli olan” bu “günahın meyvesi” özgürlük, eşitlik ve adalet gibi değerler olarak tanımlanmıştır. Burada tezatın kullanılması aslında dolaylı olarak Batı medeniyetine övgü mahiyetindedir, çünkü “günahın meyvesi” olumsuz bir imge olmakla birlikte aslında, son derece önemli ve evrensel nitelikte değerlerin Batı’ya isnat edilmesi için hazırlanan özeleştiri görünümlü bir övgü stratejisi olarak kullanıldığı izlenimini vermektedir. Ayrıca, konuşmada tarize başvurularak, benzetmenin bir ulusal övünç unsuru olduğu düşünülmektedir. Bu tür tarizlere konuşma boyunca yer yer rastlanmaktadır.</w:t>
      </w:r>
    </w:p>
    <w:p w14:paraId="2342DB0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Konuşmada, Afrika insanının tarihe girmemesi onun dramı olarak tanımlanmıştır. Bu kavramsallaştırma, dramatikleştirmeyi içermekle birlikte epey hatalı ve temelsiz bir ön kabülü de içermektedir. Afrika insanının tarihe girememesininhangi verilere veya bilgilere dayanarak iddia ettiğini açıklamayan konuşmacının, yanlışlamaya açık olmayan bu tanımlaması konuşmanın yapıldığı dönemde ağır tepkilere maruz kalmıştır. Cümledeki varsayım, konuşmayı yaptığı kıta ve ülkede kolonizasyonu temsil etmiş başka bir ülkenin başkanı olarak Cumhurbaşkanı Sarkozy’nin ağzından Afrika’nın trajedisi olarak ifade edilmekte vedurumu siyasi ve toplumsal açıdan oldukça ağır bir niteliğe kavuşturmaktadır.</w:t>
      </w:r>
    </w:p>
    <w:p w14:paraId="56D88204" w14:textId="40ACF494" w:rsidR="002858AE" w:rsidRPr="00E97E0B" w:rsidRDefault="002858AE" w:rsidP="002858AE">
      <w:pPr>
        <w:spacing w:before="100" w:beforeAutospacing="1" w:after="100" w:afterAutospacing="1"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lastRenderedPageBreak/>
        <w:t xml:space="preserve">“…Afrika’nın istediği geleceğinin kontrolünün alınması değil, onun yerine düşünülmesi değil, onun yerine karar verilmesi de değildir. (Empati) Afrika’nın istediği işbirliği, ortaklık, hakta ve sorumlulukta eşit milletler arası iş ortaklığıdır. Afrika Gençliği! Demokrasi istiyor musunuz? Özgürlük istiyor musunuz? Hukuk istiyor musunuz? Karar verecek olan sizsiniz. Fransa sizin yerinize karar verecek değildir. Ama eğer demokrasiyi, özgürlüğü, adaleti ve hukuku seçerseniz, Fransa sizinle bunları inşa etmeniz için birlik olacaktır. Afrika Gençliği! Şu haliyle küreselleşme hoşunuza gitmiyor. Afrika kolektivizm ve ilerlemecilik hülyasıyla bırakınız yapsınlar hülyasına teslim olarak çok ağır bedeller ödedi. Afrika Gençleri! Serbest ticaretin karlı olduğunu düşünüyorsunuz ama bir din olmadığını biliyorsunuz. Rekabetin bir araç olduğunu düşünüyorsunuz ama kendi başına bir amaç olmadığını biliyosunuz. Bırakınız yapsınlara inanmıyorsunuz. Biliyorsunuz ki Afrika çok saf olursa dünyanın dört bir yanındaki yırtıcılara av olmaya </w:t>
      </w:r>
      <w:r w:rsidR="00C84DEE" w:rsidRPr="00E97E0B">
        <w:rPr>
          <w:rFonts w:ascii="Times" w:eastAsia="Times New Roman" w:hAnsi="Times" w:cs="Times New Roman"/>
          <w:sz w:val="24"/>
          <w:szCs w:val="24"/>
        </w:rPr>
        <w:t>mahkûm</w:t>
      </w:r>
      <w:r w:rsidRPr="00E97E0B">
        <w:rPr>
          <w:rFonts w:ascii="Times" w:eastAsia="Times New Roman" w:hAnsi="Times" w:cs="Times New Roman"/>
          <w:sz w:val="24"/>
          <w:szCs w:val="24"/>
        </w:rPr>
        <w:t xml:space="preserve"> olacaktır. (Örtüklük) Bunu istemiyorsunuz. Daha fazla insanlığı olan daha fazla adaleti olan daha fazla kuralı olan başka bir küreselleşme istiyorsunuz. Fransa’nın da bunu istediğini söylemeye geldim. Fransa, Avrupa ile Afrika ile dünyada küreselleşmeyi değiştirmek isteyen herkesle birlikte mücadele etmek istiyor. (Empati) Afrika, Fransa ve Avrupa bunu birlikte istiyorsa o zaman başaracağız. Ancak biz sizin yerinize irade koyamayız…”</w:t>
      </w:r>
      <w:r w:rsidRPr="00E97E0B">
        <w:rPr>
          <w:rFonts w:ascii="Times" w:eastAsia="Times New Roman" w:hAnsi="Times" w:cs="Times New Roman"/>
          <w:sz w:val="24"/>
          <w:szCs w:val="24"/>
          <w:vertAlign w:val="superscript"/>
        </w:rPr>
        <w:footnoteReference w:id="282"/>
      </w:r>
    </w:p>
    <w:p w14:paraId="4B00A653" w14:textId="462F993F"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Afrika’nın kendisi hakkında karar vermesini istediğini söyleyen konuşmacı, bir empati ifadesiyle kendisini Afrikalılara yakın bir dost konumunda göstermektedir. Bununla bağlantılı olarak, önceki konuşmada yer alan geri kalmışlığı yanlış bir kararla tercih eden Afrikalı öteki konumu güçlendirilmesinin yanı sıra alternatif olarak Avrupa’yı da dahil edecek şekilde Fransa ile işbirliğini artırma imkanı sunuluyor izlenimi vermektedir. Sarkozy’nin ideolojik yaklaşımı düşünüldüğünde, son derece dikkat çeken ve çelişkili görünen ifadesinde, her ne kadar serbest ticaretin karlı olduğunu dile getirse de cümlesinde bunu bir karşıt </w:t>
      </w:r>
      <w:r w:rsidRPr="00E97E0B">
        <w:rPr>
          <w:rFonts w:ascii="Times" w:eastAsia="Times New Roman" w:hAnsi="Times" w:cs="Times New Roman"/>
          <w:sz w:val="24"/>
          <w:szCs w:val="24"/>
        </w:rPr>
        <w:lastRenderedPageBreak/>
        <w:t xml:space="preserve">anlamla dengelemektedir. Aynı şekilde, kolektivizmi, ilerlemeciliği ve serbest piyasa anlayışını bir hülya ya da serap olarak tanımlamış ve Afrika’nın bu “hülya” nedeniyle büyük zararlar gördüğünü belirtmiştir. Bu ifadesi, tarihin bir ders olarak kullanıldığı bir söylem örneği olarak değerlendirilebilir.  Bunun devamında ise geri kalmışlığı seçmekle kendi geleceğini seçmek, bir zıtlık olarak kendisini göstermektedir.  Kendi seçimlerini yapması gereken Afrika, uyanık olmazlarda yırtıcılara yem olabilecek şeklinde betimlenmiştir. Kendi seçimini nasıl yapması gerektiğini örtmeceli bir anlatım tarzıyla ima eden Cumhurbaşkanı, Fransa ve Avrupa seçeneklerinin serbest piyasa anlayışı çerçevesinde geri plana atılması durumunda, yırtıcılara yem olacak saf bir Afrikalı imgesini tasvir ederek Afrikalıları, onların özgürlüğünü isteyen “biz” ile yakın olmaya çağırmaktadır. Yırtıcıların kim olduğunu açıklamayan Sarkozy’nin, bölgede yatırımlarıyla öne çıkan küresel rakiplerini kastettiği öngörülmektedir. </w:t>
      </w:r>
    </w:p>
    <w:p w14:paraId="72F993F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Afrika’nın Fransa’ya verdiği göçle ilgili olarak, göçle ilgili sahip olduğu pragmatik perspektifi koruyan Sarkozy, göçün dünyayı keşfetme ve sefaletten kurtulmak için Afrikalı gençlerebir yol açıldığını belirtip ardından şu ifadelerle Afrikalılara seslenerek, kalıcı göçün Afrikalıların menfaatlerine uymadığını savunmuştur.</w:t>
      </w:r>
    </w:p>
    <w:p w14:paraId="6BAD83ED"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“Afrika Gençliği Rönesans’ın insanlarının her şeyin mümkün olduğunu hissettiği gibi her şeyin mümkün olacağını hissetmeli. Ve biliyorum ki Afrika gençliği dünyada ev hapsine mahkûm olan tek gençlik olmamalı. Afrika gençliği dünyada yalnızca saklanma veya kendi içine kapanma seçenekleri olan tek gençlik olamaz. Afrika gençliği, Afrika dışında kendisinde olmayan kabiliyet ve bilgiyi edinebilmeli. Ancak Afrika gençliği geliştireceği yeteneklerini Afrika topraklarına hizmete kullanmalıdır. Afrika’yı inşa etmek için geri gelmelidir. Ona kadrolarının bilgisini, kabiliyetini, dinamizmini taşımalıdır. Afrika’nın gelişmek için ihtiyacı olduğu gibi Afrikalı seçkinlerin yağmasına son verilmelidir…”</w:t>
      </w:r>
      <w:r w:rsidRPr="00E97E0B">
        <w:rPr>
          <w:rFonts w:ascii="Times" w:eastAsia="Calibri" w:hAnsi="Times" w:cs="Times New Roman"/>
          <w:sz w:val="24"/>
          <w:szCs w:val="24"/>
          <w:vertAlign w:val="superscript"/>
        </w:rPr>
        <w:footnoteReference w:id="283"/>
      </w:r>
    </w:p>
    <w:p w14:paraId="7AAB133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Rönesans ifadesinin anlamı </w:t>
      </w:r>
      <w:r w:rsidRPr="00E97E0B">
        <w:rPr>
          <w:rFonts w:ascii="Times" w:eastAsia="Calibri" w:hAnsi="Times" w:cs="Times New Roman"/>
          <w:i/>
          <w:iCs/>
          <w:sz w:val="24"/>
          <w:szCs w:val="24"/>
        </w:rPr>
        <w:t>yeniden doğmak</w:t>
      </w:r>
      <w:r w:rsidRPr="00E97E0B">
        <w:rPr>
          <w:rFonts w:ascii="Times" w:eastAsia="Calibri" w:hAnsi="Times" w:cs="Times New Roman"/>
          <w:sz w:val="24"/>
          <w:szCs w:val="24"/>
        </w:rPr>
        <w:t>tır ve Avrupa tarihinde rönesans olarak bilinen yükseliş dönemine bir göndermeyi kastedecek şekilde kullanılmış ve Afrika’nın kendi rönesansını yaşaması gerektiği vurgulanmıştır. Bu ifadeler doğrultusunda, Afrika için lerlemenin, Avrupa’yı takip etmekle mümkün olacağı düşüncesini de taşıdığı söylenebilir. Bununla birlikte, rönesansın Avrupa tarihi açısından anlamının, kendi geçmişindeki bilgilere yeniden başvurmayı içermesine rağmen Afrika’nın kendi geçmişinde böyle bir altın çağın zaten olmadığının aynı konuşma içinde yer almaktadır. Ardından gelen ev hapsi ifadesi ise bir benzetme olmak üzere bu benzetmenin yasaların çiğnenmesi durumunda bir otorite tarafından ceza vermek için gerçekleştirilen bir pratik olduğunu düşündürmektedir. Devamında gelen saklanma ifadesi ise ülkesine geri gelmesi gerektiği anlamında ve kayıtsız göçü vurgulamak için kullanılmıştır. Bunun karşıtı olarak, içine kapanma ifadesini demografik olarak bulunduğu yerde kalmak anlamında kullanmıştır. Sarkozy’nin göçü sınırlamaya yönelik politikaları göz önünde bulundurulduğunda, Fransa’ya Afrika’dan gelen göçü tamamen engellemek istemediği, ancakdaha fazla kontrol etmek istediği anlaşılmaktadır. Gençliğe, Afrika’nın kendisinde olmayan kabiliyet ve bilgileri edinmesini tavsiye ettiği bu kısımda, onların eğitilmeleri gerektiği hatırlatması da yapmaktadır. Afrikalıların edinecekleri bilgiyi, borçlu oldukları Afrika’ya getirmek ve onu ihya etmek için kullanmaları, gençlere işaret edilen yol olmuştur. Burada, hem iş birliğini sürdürmek ve karşılıklı ilişkilerini sürdürülebilir kılma amacının hem de Fransa’nın göç ihtiyacına uygun bir mesaj vermenin gerekliliğin hissedildiği açıktır zira; eğer göçen Afrikalılar belirli bir ölçüde ülkelerinin ekonomisine ve kalkınmasına katkı sağlamak için geri dönmezlerse, Afrika’nın kırılganlığı nedeniyle başka rakiplere yol açılması da istenmemektedir. Sarkozy, ülkesine gelen göçle ilgili şu sözlerle Dakar konuşmasıyla örtüşen bir yaklaşımı benimsediği görülmektedir:</w:t>
      </w:r>
    </w:p>
    <w:p w14:paraId="100CB8B1"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xml:space="preserve">“Şu anda göç ederek gelenlerin %5’inden azı ekonomideki ihtiyaçlarımıza yanıt veriyor, bu durum işgücü piyasasında diğerlerinin de ağırlığını koymasını engellemiyor… (Durum Tanımı, Sayı Oyunu) …Eğer kaçak göçe bir set çekebilir ve aile göçünü düzenleyebilir duruma gelirsek o zaman sığınmacıları ve göçmenleri daha iyi ağırlayabiliriz. (Mantıksal Açıklama) Hem kendi ekonomik çıkarlarımızı hem de insanî kanaatlerimizi her şeye maruz kalarak ve hiçbir seçim yapmayarak görmezden geliyoruz. (Durum Tanımı) Maruz kalınan bir göçten tercih edilen bir göçe geçmeyi istiyorum. (Kural ifadesi) Sözün özü otuz yıldır derinlemesine değişen bir dünyada, göç meselelerini artık 1974’tekiyle aynı kavramlarla </w:t>
      </w:r>
      <w:r w:rsidRPr="00E97E0B">
        <w:rPr>
          <w:rFonts w:ascii="Times" w:eastAsia="Calibri" w:hAnsi="Times" w:cs="Times New Roman"/>
          <w:sz w:val="24"/>
          <w:szCs w:val="24"/>
        </w:rPr>
        <w:lastRenderedPageBreak/>
        <w:t xml:space="preserve">düşünemeyiz. (Rasyonelleştirme) Yeni ekonomik ve demografik ihtiyaçlarımız var ve küreselleşme beyin hareketliliğini zorunlu hale getirmektedir (Kural ifadesi, Durum Tanımı)…” </w:t>
      </w:r>
      <w:r w:rsidRPr="00E97E0B">
        <w:rPr>
          <w:rFonts w:ascii="Times" w:eastAsia="Calibri" w:hAnsi="Times" w:cs="Times New Roman"/>
          <w:sz w:val="24"/>
          <w:szCs w:val="24"/>
          <w:vertAlign w:val="superscript"/>
        </w:rPr>
        <w:footnoteReference w:id="284"/>
      </w:r>
    </w:p>
    <w:p w14:paraId="5316091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Sarkozy’nin sayılara başvurarak göçmenlerin ne kadar faydalı olduğu hakkında ortaya koyduğu bu yorum, göçmenlerle ilgili getirilecek yeni düzenlemelerin yapıldığı sırada üretilmiştir. Bu konuşmada, göçmenler, ülkenin ekonomik gereksinimlerini ne ölçüde karşıladıkları üzerinden tanımlanarak, araçsallaştırılmışlardır. Öte yandan, göçmenlerin ihtiyaçlara yanıt vermesiyle ilgili olarak, anlamın öznelliği nedeniyle istatistiksel veriler ile ifade edilemeyeceğinden, burada sayılara başvurmak suretiyle bir çıkarsama yapılmıştır, ancak bu çıkarsama, nesnel bir veri görünümünde aktarılmıştır.  Göçmen sınırlandırmasının, göçmenleri daha iyi ağırlama amacına hizmet edecek şekilde sunulması, önceki cümledekinin aksine göçmenlerin iyi ağırlanmasını bir amaç olarak göstermektedir. Bu ifade ile mantıksal açıklama stratejisinin tercih edildiğini söylemek yerinde olacaktır. Bu argüman, aynı zamanda ülke içindeki diğer göçmenleri de kapsayıcı bir görünüm vermektedir.</w:t>
      </w:r>
    </w:p>
    <w:p w14:paraId="0F675FF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Maruz kalınan göç ve tercih edilen göç tezatlığı, ekonomik çıkarlar ve insanî kanaatlerle ilişkilendirilmektedir. Ekonomik çıkarlar, ilk olarak ifade edilmiş olup, Sarkozy’nin siyasi eğilim ve anlayışıyla uyumlu bir biçimde yansıtılmaktadır. Ardından kullanılan insanî kanaat ifadesi, medeniyet fikri ve anlayışını örmeceyle vermektedir. “Her şeye maruz kalıp hiçbir seçim yapmıyoruz” durum tanımının ardından, kendi göç kavramsallaştırmasında neyi tercih ettiği ve neye maruz kaldığını açıklamıştır. Konuşmacıya göre, göç edecek kişiler seçilmeli ve onlara maruz kalınmamalıdır. Göçmen genel olarak, maruz kalınmaması gereken ve </w:t>
      </w:r>
      <w:r w:rsidRPr="00E97E0B">
        <w:rPr>
          <w:rFonts w:ascii="Times" w:eastAsia="Calibri" w:hAnsi="Times" w:cs="Times New Roman"/>
          <w:sz w:val="24"/>
          <w:szCs w:val="24"/>
        </w:rPr>
        <w:lastRenderedPageBreak/>
        <w:t xml:space="preserve">ihtiyaç halinde kabul edilmesi gereken araçsal bir öteki olarak konumlandırılmıştır. Bu söylem, daha önce Afrika gençlerine yöneltilen “bir süre sonra” dönmeye yönelik çağrı ve beklenti ile uyumludur. </w:t>
      </w:r>
    </w:p>
    <w:p w14:paraId="0BD971CE"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Konuşmada eski kavramlarla düşünmenin yanlışlığı ile ilgili önerme sunulması, düşüncesini rasyonelleştirmeyi içeren bir kategori olarak yorumlanabilir. Bu kural ifadesi üzerinden, yeni ihtiyaçlar ve yeni koşullar vurgusu ile yapılarak, buna uyacak şekilde çıkarları gözeterek göçün tasarlanması gerektiği iddia edilmektedir. </w:t>
      </w:r>
    </w:p>
    <w:p w14:paraId="2FEFB4F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Çarpıcı bir diğer nokta, konuşmacının Fransa’nın kolonyal imparatorluk dönemine istisnai düzeyde sadakatini her fırsatta gösteren Senegal’in eski başkanı Léopold Senghor’un şu sözlerini alıntılamasıdır. Bu sözler, zekâ dolu olarak betimlenmiştir ve övülmüştür.</w:t>
      </w:r>
    </w:p>
    <w:p w14:paraId="19FE4C5D"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“…Biz kültürel olarak meleziz, zenci hissetsek de kendimizi Fransızca ifade ediyoruz, çünkü Fransızca evrensel bir dildir ve mesajımız hem Fransızlara hem diğer insanlara hitap eder… …Fransızca ana dillerimizde çok nadir olan kendi soyut kelimelerini bize hediye etti. Bizde kelimeler doğal olarak kan ve özsudan oluşan halelerle bezelidir, Fransızca’nın kelimeleri elmaslar gibi bin ışıkla parlar. Gecemizi aydınlatan havai fişeklerdir.”</w:t>
      </w:r>
      <w:r w:rsidRPr="00E97E0B">
        <w:rPr>
          <w:rFonts w:ascii="Times" w:eastAsia="Calibri" w:hAnsi="Times" w:cs="Times New Roman"/>
          <w:sz w:val="24"/>
          <w:szCs w:val="24"/>
          <w:vertAlign w:val="superscript"/>
        </w:rPr>
        <w:footnoteReference w:id="285"/>
      </w:r>
    </w:p>
    <w:p w14:paraId="4BC43D16"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Calibri" w:hAnsi="Times" w:cs="Times New Roman"/>
          <w:sz w:val="24"/>
          <w:szCs w:val="24"/>
        </w:rPr>
        <w:t>Bu sözler her ne kadar Sarkozy’ye ait olmasa da kendisi bu sözleri konuşma içinde doğrudan alıntılamıştır ve “…bu büyük şair ve bu büyük Afrikalı, Afrika’nın tüm insanlığa konuşmaya başlamasını istiyordu ve kendisi şiirlerini tüm insanlığa Fransızca yazıyordu (Otorite)…”</w:t>
      </w:r>
      <w:r w:rsidRPr="00E97E0B">
        <w:rPr>
          <w:rFonts w:ascii="Times" w:eastAsia="Calibri" w:hAnsi="Times" w:cs="Times New Roman"/>
          <w:sz w:val="24"/>
          <w:szCs w:val="24"/>
          <w:vertAlign w:val="superscript"/>
        </w:rPr>
        <w:footnoteReference w:id="286"/>
      </w:r>
      <w:r w:rsidRPr="00E97E0B">
        <w:rPr>
          <w:rFonts w:ascii="Times" w:eastAsia="Calibri" w:hAnsi="Times" w:cs="Times New Roman"/>
          <w:sz w:val="24"/>
          <w:szCs w:val="24"/>
        </w:rPr>
        <w:t xml:space="preserve"> diyerek, konuşmasında Afrikalıların evrensel hitap için Fransızca’ya ihtiyaç duyacaklarını ima etmektedir.</w:t>
      </w:r>
    </w:p>
    <w:p w14:paraId="426862C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Alıntılanan bu sözler aynı zamanda Fransız dilinin diğer dillerden daha gelişmiş olduğunu vurgulamaktadır. İmparatorluk geçmişinin üstünlük iddiasını sürdüren bu alıntı, Afrikalı bir devlet başkanını otorite olarak göstererek savını güçlendirmektedir. Bu söylem, Afrikalılara dair, dilleri ve medeniyetleri </w:t>
      </w:r>
      <w:r w:rsidRPr="00E97E0B">
        <w:rPr>
          <w:rFonts w:ascii="Times" w:eastAsia="Calibri" w:hAnsi="Times" w:cs="Times New Roman"/>
          <w:sz w:val="24"/>
          <w:szCs w:val="24"/>
        </w:rPr>
        <w:lastRenderedPageBreak/>
        <w:t>bakımından evrensel değerlerin taşıyıcısı olan “biz”e kıyasla daha zayıf olan ve daha iyi koşullarda yaşayabilme iradesini ortaya koyma olgunluğu göstermeleri durumunda yardım edebilebilecek olan bir öteki imajı çizmektedir.</w:t>
      </w:r>
    </w:p>
    <w:p w14:paraId="39A1B0A7" w14:textId="3B4E7E52" w:rsidR="002858AE" w:rsidRPr="00E97E0B" w:rsidRDefault="002858AE" w:rsidP="002B7FA9">
      <w:pPr>
        <w:pStyle w:val="Heading3"/>
      </w:pPr>
      <w:bookmarkStart w:id="152" w:name="_Toc141133103"/>
      <w:r w:rsidRPr="00E97E0B">
        <w:t>4.</w:t>
      </w:r>
      <w:r w:rsidR="008F6C47" w:rsidRPr="00E97E0B">
        <w:t>2</w:t>
      </w:r>
      <w:r w:rsidR="002B7FA9" w:rsidRPr="00E97E0B">
        <w:t>.</w:t>
      </w:r>
      <w:r w:rsidRPr="00E97E0B">
        <w:t>4. Asya Kökenliler</w:t>
      </w:r>
      <w:bookmarkEnd w:id="152"/>
    </w:p>
    <w:p w14:paraId="0B02BA0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Asya kökenli Fransızlar ve Asya kökenli göçmenler Fransız koloni tarihinde önemli bir yere sahiptir. 1914’e kadar Asya ve Güney Asya kökenli göç oldukça sınırlı olmakla birlikte, sonrasında belli dönemlerde yükselerek devam etmiştir. Göçmenlerin çoğunluğu Çinli, Kamboçyalı, Vietnamlı ve Laoslulardan müteşekkildir.</w:t>
      </w:r>
      <w:r w:rsidRPr="00E97E0B">
        <w:rPr>
          <w:rFonts w:ascii="Times" w:eastAsia="Calibri" w:hAnsi="Times" w:cs="Times New Roman"/>
          <w:sz w:val="24"/>
          <w:szCs w:val="24"/>
          <w:vertAlign w:val="superscript"/>
        </w:rPr>
        <w:footnoteReference w:id="287"/>
      </w:r>
      <w:r w:rsidRPr="00E97E0B">
        <w:rPr>
          <w:rFonts w:ascii="Times" w:eastAsia="Calibri" w:hAnsi="Times" w:cs="Times New Roman"/>
          <w:sz w:val="24"/>
          <w:szCs w:val="24"/>
        </w:rPr>
        <w:t xml:space="preserve"> Asya ve Güney Asya kökenli vatandaş ve göçmenler, kıta düzeyinde Fransa’daki en büyük üçüncü göçmen ve sonradan Fransız olan bir gruptur.</w:t>
      </w:r>
      <w:r w:rsidRPr="00E97E0B">
        <w:rPr>
          <w:rFonts w:ascii="Times" w:eastAsia="Calibri" w:hAnsi="Times" w:cs="Times New Roman"/>
          <w:sz w:val="24"/>
          <w:szCs w:val="24"/>
          <w:vertAlign w:val="superscript"/>
        </w:rPr>
        <w:footnoteReference w:id="288"/>
      </w:r>
      <w:r w:rsidRPr="00E97E0B">
        <w:rPr>
          <w:rFonts w:ascii="Times" w:eastAsia="Calibri" w:hAnsi="Times" w:cs="Times New Roman"/>
          <w:sz w:val="24"/>
          <w:szCs w:val="24"/>
        </w:rPr>
        <w:t xml:space="preserve"> Bununla birlikte, Cumhurbaşkanı Sarkozy’nin bahsi geçen toplumlarla ilgili öteki konumunu içeren ifadeleri görece kısıtlıdır. Söz konusu grubu ele alış tarzı oldukça belirgin bir şekilde pozitif karşılama ve tasvir içermektedir, fakat bu pozitif yaklaşım çoğunlukla benzer bir araçsallaştırmayı da barındırır niteliktedir. Bu araçsallaştırma, Afrika kökenlilerden bahsederken yapılanın tersine pozitif yönde olmuştur. Araçsallaştırmanın içeriği ise Asyalı cemaatlerin çalışma disiplinleri, entegrasyona meyilli olmaları, çalışkan olmaları, geldikleri ülkelerle Fransa arasında bağ kurmaya hizmet etmeleri ve ekonomiye dinamizm katmaları üzerinden sıklıkla tekrar edilmektedir. Asya kökenlilere dair öteki konumlandırmasını farklı kılan bir diğer belirgin husus ise bir başka grup olan Müslüman ve Afrikalı grupların ötekileştirilmesinde araçsallaşmalarıdır. Asyalı göçmenlerin “iyi göçmen” olma özellikleri vurgulanması, bu şekilde vurgulanmayan hatta sıklıkla tenkit edilen Müslüman ve/veya Afrikalı göçmen gruplarının konumlanışında belirleyici bir role sahip olmuştur. Asyalı göçmenlerin ticari ve profesyonel başarıları ve adaptasyonları bu konuda geride olduğu varsayılabilecek grupları ister istemez “kötü göçmen” konumuna getirmektedir. Ayrıca, Asyalıların adaptasyon ve iş hayatı konusundaki başarıları fazlaca övülerek, </w:t>
      </w:r>
      <w:r w:rsidRPr="00E97E0B">
        <w:rPr>
          <w:rFonts w:ascii="Times" w:eastAsia="Calibri" w:hAnsi="Times" w:cs="Times New Roman"/>
          <w:sz w:val="24"/>
          <w:szCs w:val="24"/>
        </w:rPr>
        <w:lastRenderedPageBreak/>
        <w:t xml:space="preserve">takdir edilmelerinin bunu sürdürmelerine bağlı olduğu ve hatta uyum sağlaması gereken konumda oldukları bir manzara ortaya koyulmaktadır. </w:t>
      </w:r>
    </w:p>
    <w:p w14:paraId="02A783B3" w14:textId="2935615D"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xml:space="preserve">“…Fransa ile Asya arasındaki bu bağlar, aynı zamanda, Asya kökenli Fransızları ailelerine ve atalarının topraklarına bağlayan binlerce görünmez bağ oluşmaktadır. Siz bugün Fransa’nın Asyalı cemaatlerini temsil ediyorsunuz. Asya’da kalan yakınlarınızla bağlarınızı güçlü bir şekilde çoğunlukla korudunuz. Bu, Fransa ile Asya arasında yeni bir yakınlık oluşturmak için daha fazla kullanılması gereken bir araçtır. Bu Yeni Yıl törenleri ülkemiz için önemlidir, çünkü Asya topluluğu tarihimizde, kimliğimizde, ülkemizde önemli bir rol oynamaktadır… …Ve siz Asya kökenli değerli dostlarım, değerli vatandaşlarım kökenlerinizi, kültürünüzü, köklerinizi, bağlarınızı </w:t>
      </w:r>
      <w:r w:rsidR="00C84DEE" w:rsidRPr="00E97E0B">
        <w:rPr>
          <w:rFonts w:ascii="Times" w:eastAsia="Calibri" w:hAnsi="Times" w:cs="Times New Roman"/>
          <w:sz w:val="24"/>
          <w:szCs w:val="24"/>
        </w:rPr>
        <w:t>inkâr</w:t>
      </w:r>
      <w:r w:rsidRPr="00E97E0B">
        <w:rPr>
          <w:rFonts w:ascii="Times" w:eastAsia="Calibri" w:hAnsi="Times" w:cs="Times New Roman"/>
          <w:sz w:val="24"/>
          <w:szCs w:val="24"/>
        </w:rPr>
        <w:t xml:space="preserve"> etmeyin zira Fransa ve Asya arasında ihtiyacımız olan o kadar çok bağ var ki. Fransa'nın sizi topraklarımızda saymaktan (görmekten) ve vatandaş olarak görmekten mutluluk ve gurur duyduğundan emin olabilirsiniz…”</w:t>
      </w:r>
      <w:r w:rsidRPr="00E97E0B">
        <w:rPr>
          <w:rFonts w:ascii="Times" w:eastAsia="Calibri" w:hAnsi="Times" w:cs="Times New Roman"/>
          <w:sz w:val="24"/>
          <w:szCs w:val="24"/>
          <w:vertAlign w:val="superscript"/>
        </w:rPr>
        <w:footnoteReference w:id="289"/>
      </w:r>
    </w:p>
    <w:p w14:paraId="6F7425BE" w14:textId="5FE3BE5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“Bağ” ifadesi bu metni Türkçeye çevirirken bulunan karşılık olmakla birlikte aslında metin içinde aynı kelimelerle ifade edilmemiştir. “Görünmez” ve “ihtiyaç duyulan” bağlar iplik olarak kullanılan bir kelimeyle belirtilmiştir. Fazlaca yer verilmeyecek olan yurtdışı ziyaretleri sırasında Sarkozy’nin Asya ülkeleri ve özellikle de Çin için sarfettiği cümlelerden ve Asyalı vatandaşların Asya ülkelerini Fransa’da temsil düşüncesinden anlaşılacağı üzere, Asyalı vatandaşlar burada, potansiyel olarak önemli bir ekonomik partner ve rakibe dönüştürülmüştür. Bu noktada Asyalı göçmen ve vatandaşlar, Asyalı devletlerle olan ilişkiler üzerindeki etkileri bakımından araçsallaştırılmıştır. Sarkozy’nin Asyalı Fransızlara bu metin içinde biçtiği rol temsiliyettir. Kastedilen temsiliyetten iki yönlüdür, birincisi Fransa’yı Asya’da temsil etmek ikincisi de Asyalıları Fransa’da temsil etmektir. Bu temsiliyet, kısmen bir durum tespiti kısmen de bir rol atfetme olarak anlaşılabilir. Cümlenin devamında ise bu temsiliyeti açıklayacak şekilde Asya ile Asya kökenli </w:t>
      </w:r>
      <w:r w:rsidRPr="00E97E0B">
        <w:rPr>
          <w:rFonts w:ascii="Times" w:eastAsia="Calibri" w:hAnsi="Times" w:cs="Times New Roman"/>
          <w:sz w:val="24"/>
          <w:szCs w:val="24"/>
        </w:rPr>
        <w:lastRenderedPageBreak/>
        <w:t>cemaatlerin bağını koruması ve hemen akabinde de kullanılan “araç” kelimesi önemlidir. Ulusal birlik ve biz olma teması, bu araçsallığın hemen devamında kullanılarak nesne konumunun olumsuz görünümü hafifletilmiş ve Asyalı cemaatlerin “biz” için yaptıkları ve bize yakın hatta “biz” olanın bir parçası olma payesi verilerek konumu yakınlaştırılmıştır. Buradaki Asyalı konumu, incelenen Arap, Afrikalı, Müslüman kimliklerinin konumları ile karşılaştırıldığında, daha fazla takdir toplayan, daha az ikaz edilen bir konumdadır. Ancak konuşmaların içeriği topladığı takdirin getirdiği faydaya dayandığını göstermektedir. Asyalı vatandaşlar Afrikalı veya Müslüman vatandaşların aksine, potansiyel bir risk faktörü değil, potansiyel olarak fayda getirecek bir anlamda konumlandırılmıştır. Metin içinde “bağ” ifadesi Fransa ve Asya kelimeleri tekrar edilerek anlam daha da belirgin hale getirildiği ve ilginç bir şekilde -Müslüman ve Afrika kökenlilerden bahsedilirken yapılan konuşmalardakinin aksine- asimilasyon ve entegrasyon ifadelerine oldukça az yer verildiği görülmüştür. Ayrıca, konuşmacının Asyalı göçmenlerden talebi entegrasyon olmamıştır, aksine kökenlerini inkâr etmemeleri istenmiştir. Asyalıların kendilerini inkardan kaçınmalarını istemesi de Fransa açısından Asya ile kurulabilecek yeni bağların bir aracı olarak görülmesinden ileri gelmektedir. Bu istekle paralel olarak zaten “başarılı bir entegrasyon” örneği oldukları düşüncesi dile getirilmiştir.</w:t>
      </w:r>
    </w:p>
    <w:p w14:paraId="55D8E150"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Geçtiğimiz yüzyıl, Asya’dan gelen farklı göçmen nesilleri, dinamizmi ve bizimle yeni bir gelecek kurma iradesini beraberlerinde getirdiler. Okulla, çalışmayla, değerli dostlarım, cumhuriyetimizin değerlerini sahiplenerek başarılı bir entegrasyonun örnekleri oldunuz! Sizler Asya’dan gelen Fransızlar veya aileleri Asya’da doğmuş olanlar olarak ülkemizin yaşam gücünü oluşturuyorsunuz. Her biriniz kendi alanında benim için çok değerli olan ve hakkı verilmesi tam anlamıyla başarılı bir entegrasyonun şartı olan işgücünü değere dönüştürüyor. (Aktör Tanımı ve Durum Kavramsallaştırması) Fransa’da her gün entegre olma ve katıldığınız ulusal toplum tarafından sevilme ve takdir edilme kapasitesine hayranlığımı itiraf etmem gereken ve Fransız vatandaşlığı alan sayısız Asyalı arkadaşım var. Tabii ki bu başarılarınıza da hayranlık duyuyorum. Buna tanıklık edebilecek çok sayıda aile de var. (Kanı Birliği) Şunu da itiraf etmeliyim ki eğer ben Kamboçya’da, Vietnam’da, Çin’de olsaydım, bunca vatandaşımızın yapmış olduğu gibi birkaç yılda dile hâkim olabilir miydim, alışkanlıkları ve adetleri öğrenebilir miydim bilemiyorum. (Empati) Size söylemeliyim ki ulusal toplum sizi takdir ediyor, size saygı duyuyor, başarılarınıza ve azminize hayranlık duyuyor…”</w:t>
      </w:r>
      <w:r w:rsidRPr="00E97E0B">
        <w:rPr>
          <w:rFonts w:ascii="Times" w:eastAsia="Calibri" w:hAnsi="Times" w:cs="Times New Roman"/>
          <w:sz w:val="24"/>
          <w:szCs w:val="24"/>
          <w:vertAlign w:val="superscript"/>
        </w:rPr>
        <w:footnoteReference w:id="290"/>
      </w:r>
    </w:p>
    <w:p w14:paraId="7C488B35"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İfadedeki özne değişimi birden gerçekleşmiştir. Burada “sizin” “bize” entegre olması söz konusudur. İfadenin başında üçüncü şahıs olarak yer bulan Asyalılar sonraki cümlede birden “cumhuriyetimizin değerlerini sahiplenerek” sahiplenerek “örnek oldunuz.” Burada cumhuriyet “biz” Fransızlara ait ve “siz” olan Asyalılar tarafından sahipleniliyor vurgusu yapılmıştır. Bu övgü ve takdir ifade eden cümlelerin art arda geldiği cümlelerde, biz-siz ayrımı açık bir şekilde kendini göstererek olumlu bir öteki kurgulanmaktadır. Ancak burada kurgulanan pozitif aktör tanımı ve durum kavramsallaştırması işgücü olmakla ilişkili görünmekte ve işgücü sebebiyle entegrasyona istekli olmaktan kaynaklanmaktadır. “Yaşam gücü” tanımı “işgücünü değere” çevirmek ve bir güç olmayı ve ekonomik bir katkıyı ima eder niteliktedir. Bu durumda kanı birliği kategorisiyle güçlendirilen hayranlık ve takdir de bu unsurlara bağlı görünmektedir. Diğer taraftan, konuşmacı bir empati öğesi kullanmış ve övgüsünü güçlendirecek şekilde kendisinin -Asyalıların yerinde olsaydı- bu başarıyı elde edebileceğinden tereddüt ettiğini ifade etmiştir. Bu durum, Müslüman ve Afrika kökenli olan göçmen veya Fransız vatandaşları hakkında dillendirilenden oldukça farklıdır. Müslüman ve Afrika kökenli göçmenler için, sevmek ifadesi kullanılmadığı gibi entegrasyon isteği bakımından eksik olanlardan bahsedilmiş ve entegre olmak istemeyenlerin yerinin olmadığı vurgulanmış, kültürel farklara rağmen birlikte olunduğu ima edilmiştir. </w:t>
      </w:r>
    </w:p>
    <w:p w14:paraId="06116598" w14:textId="3258D67E" w:rsidR="002858AE" w:rsidRPr="00E97E0B" w:rsidRDefault="002858AE" w:rsidP="002B7FA9">
      <w:pPr>
        <w:pStyle w:val="Heading3"/>
      </w:pPr>
      <w:bookmarkStart w:id="156" w:name="_Toc141133104"/>
      <w:r w:rsidRPr="00E97E0B">
        <w:t>4.</w:t>
      </w:r>
      <w:r w:rsidR="008F6C47" w:rsidRPr="00E97E0B">
        <w:t>2</w:t>
      </w:r>
      <w:r w:rsidRPr="00E97E0B">
        <w:t>.5. Yahudi Toplumu</w:t>
      </w:r>
      <w:bookmarkEnd w:id="156"/>
    </w:p>
    <w:p w14:paraId="64733D13"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Fransa’da Yahudi azınlığın geçmişi oldukça eskiye dayanmaktadır. Kökleri ve tarihi ağırlıklı olarak Katolik olarak tanımlanabilecek olan Fransa’daki Yahudi diasporası oldukça nüfusludur. Amerika ve İsrail’den sonra en büyük Yahudi </w:t>
      </w:r>
      <w:r w:rsidRPr="00E97E0B">
        <w:rPr>
          <w:rFonts w:ascii="Times" w:eastAsia="Calibri" w:hAnsi="Times" w:cs="Times New Roman"/>
          <w:sz w:val="24"/>
          <w:szCs w:val="24"/>
        </w:rPr>
        <w:lastRenderedPageBreak/>
        <w:t>nüfusa sahip olan Fransa’da yarım milyona yakın Yahudi yaşamaktadır.</w:t>
      </w:r>
      <w:r w:rsidRPr="00E97E0B">
        <w:rPr>
          <w:rFonts w:ascii="Times" w:eastAsia="Calibri" w:hAnsi="Times" w:cs="Times New Roman"/>
          <w:sz w:val="24"/>
          <w:szCs w:val="24"/>
          <w:vertAlign w:val="superscript"/>
        </w:rPr>
        <w:footnoteReference w:id="291"/>
      </w:r>
      <w:r w:rsidRPr="00E97E0B">
        <w:rPr>
          <w:rFonts w:ascii="Times" w:eastAsia="Calibri" w:hAnsi="Times" w:cs="Times New Roman"/>
          <w:sz w:val="24"/>
          <w:szCs w:val="24"/>
        </w:rPr>
        <w:t xml:space="preserve"> Yahudi toplumu ile Sarkozy arasındaki ilişki, Sarkozy’nin cumhurbaşkanlığının ilk dönemlerinde, cumhurbaşkanı olmadan önceki icraatlarından memnun kalan Yahudi Fransızların önemli bir çoğunluğunun hoşnutluğu nedeniyle daha yakınken, görev süresi içinde belirli bir mesafede kaldığı söylenebilir.</w:t>
      </w:r>
      <w:r w:rsidRPr="00E97E0B">
        <w:rPr>
          <w:rFonts w:ascii="Times" w:eastAsia="Calibri" w:hAnsi="Times" w:cs="Times New Roman"/>
          <w:sz w:val="24"/>
          <w:szCs w:val="24"/>
          <w:vertAlign w:val="superscript"/>
        </w:rPr>
        <w:footnoteReference w:id="292"/>
      </w:r>
      <w:r w:rsidRPr="00E97E0B">
        <w:rPr>
          <w:rFonts w:ascii="Times" w:eastAsia="Calibri" w:hAnsi="Times" w:cs="Times New Roman"/>
          <w:sz w:val="24"/>
          <w:szCs w:val="24"/>
        </w:rPr>
        <w:t xml:space="preserve"> Sarkozy öncesindeki İsrail’de, iki devletli çözüm lehine bir hükümet politikası olan Fransa’nın, Sarkozy’nin görevi başladığı sıralarda değişeceğine inanmakla birlikte, daha sonra bu konudaki beklentilerinin boşa çıktığı söylenebilir. Ancak, Sarkozy’nin genel anlamda Yahudi vatandaşlar ve İsrail için genel anlamda olumlu ve dostça bir söylemi istikrarlı bir şekilde devam ettirdiği söylenebilir. Bununla birlikte konuşmacının, Asyalı cemaatlerle ilgili söylemlerindekine oldukça benzer bir şekilde, Fransa’daki Yahudi Toplumu’nu da İsrail ile ilişkilerde araçsallaştırmaya meylettiği, 2008’de, Fransa’daki Yahudi Kurumların Temsilcileri Konseyi’nin (CRIF) verdiği akşam yemeğinde yaptığı konuşmada görülmektedir.</w:t>
      </w:r>
    </w:p>
    <w:p w14:paraId="33FAFF55"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xml:space="preserve">“…bu Fransa sizi geliştirdi, size dininizi uygulamanıza müsaade edecek haklar verdi. (Ulusal Övünç) Consistoire’ın kuruluşunun ikinci yüzyılını bu yıl birlikte kutluyoruz. Sonra bu Cumhuriyet toplumun tüm alanlarına yeteneklerinize ve liyakatinize göre entegre etti. Sizin de gerçek vatansever ruhlarınızla cömertçe, güvenle ve bağlılıkla hizmet ettiğiniz bu Cumhuriyet; laikliği icat ederek sizin hem sonuna kadar Yahudi ve tüm kalbinizle Fransız olmanıza imkân tanıdı…” </w:t>
      </w:r>
      <w:r w:rsidRPr="00E97E0B">
        <w:rPr>
          <w:rFonts w:ascii="Times" w:eastAsia="Calibri" w:hAnsi="Times" w:cs="Times New Roman"/>
          <w:sz w:val="24"/>
          <w:szCs w:val="24"/>
          <w:vertAlign w:val="superscript"/>
        </w:rPr>
        <w:footnoteReference w:id="293"/>
      </w:r>
    </w:p>
    <w:p w14:paraId="3F223C44" w14:textId="4B917443"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Konuşmacı, Fransa’yı överek Yahudilere verdiği hakları hatırlatmaktadır. Bu konuşma, daha önce ele alınan ve Müslümanlarla ilgili konuşmalardan bazı açılardan farklılık göstermektedir. Konuşmada ilk olarak, Fransız Yahudi toplumunu kastederek onların Fransa’ya karşı sorumluluklarını yerine getirdiğini kastedilmektedir. İkinci olarak, oldukça pozitif bir muhatap imajı çizmekte; </w:t>
      </w:r>
      <w:r w:rsidRPr="00E97E0B">
        <w:rPr>
          <w:rFonts w:ascii="Times" w:eastAsia="Calibri" w:hAnsi="Times" w:cs="Times New Roman"/>
          <w:sz w:val="24"/>
          <w:szCs w:val="24"/>
        </w:rPr>
        <w:lastRenderedPageBreak/>
        <w:t xml:space="preserve">Yahudilerin yetenekli ve liyakati olan bir grup olduklarını söylemektedir. Üçüncü olarak hem vatansever ruhlar ifadesiyle hem de “tüm kalpleriyle Fransız” olduklarını belirtmektedir. </w:t>
      </w:r>
      <w:r w:rsidRPr="00E97E0B">
        <w:rPr>
          <w:rFonts w:ascii="Times" w:eastAsia="Times New Roman" w:hAnsi="Times" w:cs="Times New Roman"/>
          <w:sz w:val="24"/>
          <w:szCs w:val="24"/>
        </w:rPr>
        <w:t xml:space="preserve">Hitap edilen Yahudi Toplumu, her ne kadar İsrail’le yakın ilişki içinde olsa da ağırlıklı olarak göçmen değil, Fransız vatandaşıdır ve bu konuşmacının muhatap kitleye “Fransız olduklarını” hatırlatmasına olanak tanımıştır. </w:t>
      </w:r>
      <w:r w:rsidRPr="00E97E0B">
        <w:rPr>
          <w:rFonts w:ascii="Times" w:eastAsia="Calibri" w:hAnsi="Times" w:cs="Times New Roman"/>
          <w:sz w:val="24"/>
          <w:szCs w:val="24"/>
        </w:rPr>
        <w:t>Bütün bunlar, bir öteki tanımlaması çerçevesinde ele alındığında, Yahudi toplumuna dair “biz” olana oldukça yakın bir öteki imajı çizilmektedir. Ancak, Müslüman cemaatlerle ilgili ifadeler ele alındığında, söylemde ortak bir özellik olduğu anlaşılmaktadır. Her iki konuşmanın da bir hak-sorumluluk ya da karşılıklılık ekseninde olduğunu görmek mümkündür.</w:t>
      </w:r>
    </w:p>
    <w:p w14:paraId="1F6ED51F" w14:textId="77777777" w:rsidR="002858AE" w:rsidRPr="00E97E0B" w:rsidRDefault="002858AE" w:rsidP="002858AE">
      <w:pPr>
        <w:spacing w:before="120" w:after="120" w:line="240" w:lineRule="auto"/>
        <w:jc w:val="both"/>
        <w:rPr>
          <w:rFonts w:ascii="Times" w:eastAsia="Times New Roman" w:hAnsi="Times" w:cs="Times New Roman"/>
          <w:sz w:val="24"/>
          <w:szCs w:val="24"/>
        </w:rPr>
      </w:pPr>
      <w:r w:rsidRPr="00E97E0B">
        <w:rPr>
          <w:rFonts w:ascii="Times" w:eastAsia="Calibri" w:hAnsi="Times" w:cs="Times New Roman"/>
          <w:sz w:val="24"/>
          <w:szCs w:val="24"/>
        </w:rPr>
        <w:t>“…</w:t>
      </w:r>
      <w:r w:rsidRPr="00E97E0B">
        <w:rPr>
          <w:rFonts w:ascii="Times" w:eastAsia="Times New Roman" w:hAnsi="Times" w:cs="Times New Roman"/>
          <w:sz w:val="24"/>
          <w:szCs w:val="24"/>
        </w:rPr>
        <w:t xml:space="preserve"> bu tarz açıklamalardan kaçınmanın daha iyi olacağı bir dönemde kendimi İsrail’e bir dost olarak tanımlamış olduğumu hatırlatma nezaketini gösterdiniz. (Otorite) Görüyor musunuz, daha o dönemde düşüncelerimi tıpkı bugün laiklikle ilgili konuşmamda olduğu gibi aynı samimiyetle ortaya koymuştum. Evet doğru, bir İsrail dostuyum ve iki ülke arasındaki siyasi bağları, dostluğu ve işbirliğini kuvvetlendirmeye büyük bir önem veriyorum…”</w:t>
      </w:r>
      <w:r w:rsidRPr="00E97E0B">
        <w:rPr>
          <w:rFonts w:ascii="Times" w:eastAsia="Times New Roman" w:hAnsi="Times" w:cs="Times New Roman"/>
          <w:sz w:val="24"/>
          <w:szCs w:val="24"/>
          <w:vertAlign w:val="superscript"/>
        </w:rPr>
        <w:footnoteReference w:id="294"/>
      </w:r>
    </w:p>
    <w:p w14:paraId="79F2C69F"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Sarkozy, kendisini İsrail dostu olarak tanımlamakta ve bunu zor bir zamanda söylediğini Fransa’daki Yahudileri temsil eden CRIF başkanının ağzından bu tanımı onaylatarak bu önermeyi saygın bir otoriteye dayandırmaktadır. Ardından tekrara başvurarak kendi ağzıyla bunu onaylamaktadır. Hemen ardından, İsrail’le ilişkileri ve işbirliğini güçlendirmeye yönelik arzusunu belirtmektedir. Söz konusu gruba İsrail’le ilişki arzusunu ve iradesini belirtmesi, Asyalı gruplarla olduğu gibi azınlık topluluğun işlevselliğine yönelik bir perspektifi yinelemektedir. Bununla birlikte, laiklik vurgusu bu iki ifadenin arasına yerleştirilmiştir. Her ne kadar yakın ve dost olarak tanımladığı bir ötekinden söz edilecek olsa da söz konusu vurgunun, laikliğin bu topluma karşı da bir denge unsuru olarak görüldüğünü düşündürmektedir. </w:t>
      </w:r>
    </w:p>
    <w:p w14:paraId="71BAC316"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Çalışmada da bir kesitini incelediğimiz Latran konuşması, Sarkozy’nin din adamlarının laik öğretmenlere göre üstün olduklarını ima etmektedir. Ayrıca, </w:t>
      </w:r>
      <w:r w:rsidRPr="00E97E0B">
        <w:rPr>
          <w:rFonts w:ascii="Times" w:eastAsia="Times New Roman" w:hAnsi="Times" w:cs="Times New Roman"/>
          <w:sz w:val="24"/>
          <w:szCs w:val="24"/>
        </w:rPr>
        <w:lastRenderedPageBreak/>
        <w:t>Latran konuşması, Fransa’nın köklerinin Hristiyan olduğunu ve laikliğin, Fransa’yı Hristiyan köklerinden koparmaya çalışmış olduğunu söyleyerek eleştirdiği ve Fransa için vazgeçilmez olan laiklik ilkesi açısından oldukça tartışmalı ifadeler içermektedir. Riyad ile Suudi Arabistan’da adalet ve barışı sağlamak konusunda ortak idealleri olduğunu söylediği Riyad konuşmasında ise İslam dinini barbarlık ve suçlarla ilgisi olmadığını vurgulamış ve Latran konuşmasıyla açıkça çelişecek biçimde “Kilise ve Devlet’in ayrılığı ilkesine dayanan bir devletin başkanı olarak bir dini diğerine tercih ettiğimi ifade edemem.” demiştir.”</w:t>
      </w:r>
      <w:r w:rsidRPr="00E97E0B">
        <w:rPr>
          <w:rFonts w:ascii="Times" w:eastAsia="Times New Roman" w:hAnsi="Times" w:cs="Times New Roman"/>
          <w:sz w:val="24"/>
          <w:szCs w:val="24"/>
          <w:vertAlign w:val="superscript"/>
        </w:rPr>
        <w:footnoteReference w:id="295"/>
      </w:r>
      <w:r w:rsidRPr="00E97E0B">
        <w:rPr>
          <w:rFonts w:ascii="Times" w:eastAsia="Times New Roman" w:hAnsi="Times" w:cs="Times New Roman"/>
          <w:sz w:val="24"/>
          <w:szCs w:val="24"/>
        </w:rPr>
        <w:t xml:space="preserve">  Eleştirilere maruz kaldığını hatırlatan cumhurbaşkanının söyleminin metinler arası bir özelliği burada belirgin bir şekilde kendini göstermekte ve konuşmacı söylemiş olduklarının yanlış anlaşıldığını iddia ederek bu iki konuşmasının da ayrı bir yeri olduğu yorumunu  olduğunu ve farklı değerlendirilmesi gerektiğini söylemektedir. Yahudi topluluğuna yapılan konuşmada laiklik vurgusu ise, Hristiyan veya Müslüman kimliklere yapılandan farklı olarak, daha dengeli seyretmekle birlikte; konuşmasında bazı temel farklar olduğunu söylenebilir. Yahudi toplumuna seslenirken, hem Fransa’nın hem de daha geniş bir çerçevede Avrupa’da yaşayan Yahudilerin geçmişte yaşamış oldukları Nazi tecrübesine atıfta bulunan konuşmacı “… Nazizm ırklar hiyerarşisine inanıyordu. Bu önerme, Yahudi-Hristiyan tektanrıcılığıyla radikal bir biçimde uyumsuz bir önermeydi…”</w:t>
      </w:r>
      <w:r w:rsidRPr="00E97E0B">
        <w:rPr>
          <w:rFonts w:ascii="Times" w:eastAsia="Times New Roman" w:hAnsi="Times" w:cs="Times New Roman"/>
          <w:sz w:val="24"/>
          <w:szCs w:val="24"/>
          <w:vertAlign w:val="superscript"/>
        </w:rPr>
        <w:footnoteReference w:id="296"/>
      </w:r>
      <w:r w:rsidRPr="00E97E0B">
        <w:rPr>
          <w:rFonts w:ascii="Times" w:eastAsia="Times New Roman" w:hAnsi="Times" w:cs="Times New Roman"/>
          <w:sz w:val="24"/>
          <w:szCs w:val="24"/>
        </w:rPr>
        <w:t xml:space="preserve"> şeklinde bir ifade kullanmıştır. Bir taraftan Latran’daki söyleme paralel olarak, dinlerin ve din adamlarının pozitif öğeler olarak insanların materyalist dünya anlayışına kapılmalarına engel olacak ve ruhsal olarak destekleyecek bir unsur olarak değerlendiren konuşmacı, diğer taraftan aşağıda belirtilen ifadelerde ötekiler arasında bir hiyerarşiyi ima etmektedir:</w:t>
      </w:r>
    </w:p>
    <w:p w14:paraId="24DB109D" w14:textId="77777777" w:rsidR="002858AE" w:rsidRPr="00E97E0B" w:rsidRDefault="002858AE" w:rsidP="002858AE">
      <w:pPr>
        <w:spacing w:before="100" w:beforeAutospacing="1" w:after="100" w:afterAutospacing="1"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 xml:space="preserve">“…Kimse laikliği tartışmaya açmak istemiyor. Devletin tarafsızlığı gibi, tüm inançlara ve inançsızlığa saygı gibi, dininin gereklerini uygulama ve ateist olma </w:t>
      </w:r>
      <w:r w:rsidRPr="00E97E0B">
        <w:rPr>
          <w:rFonts w:ascii="Times" w:eastAsia="Times New Roman" w:hAnsi="Times" w:cs="Times New Roman"/>
          <w:sz w:val="24"/>
          <w:szCs w:val="24"/>
        </w:rPr>
        <w:lastRenderedPageBreak/>
        <w:t>özgürlüğü gibi çok kıymetli bir hazineyi kimse zarara uğratmak istemiyor… …Ben de burada söz konusu kişi olmam nedeniyle bir başkasından da daha az isterim…”</w:t>
      </w:r>
      <w:r w:rsidRPr="00E97E0B">
        <w:rPr>
          <w:rFonts w:ascii="Times" w:eastAsia="Times New Roman" w:hAnsi="Times" w:cs="Times New Roman"/>
          <w:sz w:val="24"/>
          <w:szCs w:val="24"/>
          <w:vertAlign w:val="superscript"/>
        </w:rPr>
        <w:footnoteReference w:id="297"/>
      </w:r>
    </w:p>
    <w:p w14:paraId="031926FD" w14:textId="77777777" w:rsidR="002858AE" w:rsidRPr="00E97E0B" w:rsidRDefault="002858AE" w:rsidP="002858AE">
      <w:pPr>
        <w:spacing w:before="100" w:beforeAutospacing="1" w:after="100" w:afterAutospacing="1"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 Peki bu bizi dinden bahsetmekten alıkoymalı mı? Totaliter ideolojilerin sonunun ardından gelen tüketim toplumunun hayal kırıklığından sonra bariz bir şekilde ortaya çıkan oldukça büyük bir ruhani ihtiyacın varlığını görmezden gelecek kadar kör etmeli mi? Bu bizi Fransa’da İslam’ın durumunu açık bir şekilde ortaya koymaktan alıkoymalı mı? Fransa’daki Müslüman varlığının pratik sonuçlarını ele almayı redderek kendini belli eden kıyafetler ve kimliksel talepler gibi laikliğe en fazla zıt olan davranışların gelişeceğini görmüyor muyuz? Laiklik ilkesi örneğin bu diyalog 21. yüzyılın büyük bir meselesi olduğu halde, Riyad’da medeniyetler arası diyalog lehine oynadığımız rolü oynamaktan bizi geri mi çevirmeli? Rahiplerle, vaizlerle, hahamlarla ve din adamlarıyla onlara yaptıklarının en yoksulların iyiliğine olduğunu, hastaların rahatlamasına yaradığını, gençlerin eğitimine yarar sağladığını, cezaevlerinde mahkûm olanların topluma yeniden kazandırılmalarına fayda sağladığını, yani kısaca faydalı ve iyi olduğunu söylemek için buluşmaktan beni mahrum mu etmeli?..”</w:t>
      </w:r>
      <w:r w:rsidRPr="00E97E0B">
        <w:rPr>
          <w:rFonts w:ascii="Times" w:eastAsia="Times New Roman" w:hAnsi="Times" w:cs="Times New Roman"/>
          <w:sz w:val="24"/>
          <w:szCs w:val="24"/>
          <w:vertAlign w:val="superscript"/>
        </w:rPr>
        <w:footnoteReference w:id="298"/>
      </w:r>
      <w:r w:rsidRPr="00E97E0B">
        <w:rPr>
          <w:rFonts w:ascii="Times" w:eastAsia="Times New Roman" w:hAnsi="Times" w:cs="Times New Roman"/>
          <w:sz w:val="24"/>
          <w:szCs w:val="24"/>
        </w:rPr>
        <w:t xml:space="preserve"> (Karşı gerçeklik)</w:t>
      </w:r>
    </w:p>
    <w:p w14:paraId="76F9641D" w14:textId="77777777"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Burada laikliği tartışmaya açmak istemediğini söyleyen konuşmacı aslında laikliği benimsediğini göstermeyi amaçlayan bir vurguya başvurmuştur. Ancak, bu vurgu, laikliğin niteliğini tartışmaya açmamak anlamında değildir. İlk olarak laikliği tartışmak istemediğini belirten konuşmacı, konuşmanın geri kalanı laiklik kavramını tartışarak devam etmiştir çünkü, Fransa’da bu döneme kadar genel kanı olarak benimsenmiş laiklik algısıyla ilgili olarak itirazları sıralayan konuşmacı, aslında burada bir laiklik tartışmasını ortaya koymaktadır. Burada dikkat çekici olan husus ise bu tartışma içerisinde yaptığı kimlik konumlandırmasıdır. Öncelikle, bağlam dikkatle değerlendirilmelidir: Yahudilere hitap edilen konuşmada, laiklik </w:t>
      </w:r>
      <w:r w:rsidRPr="00E97E0B">
        <w:rPr>
          <w:rFonts w:ascii="Times" w:eastAsia="Times New Roman" w:hAnsi="Times" w:cs="Times New Roman"/>
          <w:sz w:val="24"/>
          <w:szCs w:val="24"/>
        </w:rPr>
        <w:lastRenderedPageBreak/>
        <w:t xml:space="preserve">savunularak bunun herkes için faydalı bir kavram olduğu savunulmakta; ardından ise bu pozitif anlamlı kavramın niteliklerinin nasıl olması gerektiği tartışılmaktadır. Bu tartışma örneklerinde, Yahudiler olumlu bir çerçevede yansıtılmış ve bu olumlu konumla karşıt olarak Müslüman kimliği dışarıda bırakılmıştır. Bunu söylemek için Sarkozy’nin Müslümanlardan bahsederken imamları tartıştığı konuşmalarda imam kelimesini kullandığını hatırlamak gerekir. Burada ise farklı olarak; iyi yönleri sayılan Katolik, Protestan -ki vaiz kelimesi Protestanlar için kullanılmaktadır- ve hahamların ardından din adamı gibi genel bir ifadeyi kullanarak imam kelimesini atladığı görülmüştür. Cumhurbaşkanı sıfatıyla tüm dini grupların liderleriyle bir araya gelmesinin doğal olduğu kanısını savunurken konuşmacının, imam kelimesini bu sıralamada kullanmaması ile Riyad’da “medeniyetler arası diyaloğa” katkıda bulunma edimi, Müslüman kimliğini dış bir öteki olarak ortaya koymakla kalmaz, aynı zamanda Yahudi kimliğinin iç öteki olma konumunu, dışsallaştırdığı Müslüman kimliği üzerinden dolaylı olarak göstermektedir. Aynı metin içinde, Fransa’daki “Müslümanların durumundan” bahsetmesi önemli bir ayrıntıdır. Bir tarafta kendi vatandaş ve sakinlerinin mevcut varlığına rağmen Müslümanlar, diyalog kurulan/kurulması gereken bir öteki olarak daha uzak bir konumdayken diğeri görece yakın bir iç öteki olduğu anlaşılmaktadır. İki cümle üst üste tartışılan Müslüman kimliğiyle ilgili yakınma; kendini belli eden giyim tarzı üzerinden de sorunsallaştırılarak laiklik ilkesine zıt bir durum olarak tanımlanmaktadır. Buna ilaveten “Müslümanların varlığının pratik sonuçlarını reddetmek” kavramsallaştırması elbette sol siyasete bir eleştiri olarak dile getirilmekte, ancak bu eleştiriye nesneleştirelen bir grubun dahil edilmesi, o grubun öteki konumunda bir aynı zamanda bu söyleme göre bir sorun oluşturduğu şeklinde yorumlanmaya açıktır. </w:t>
      </w:r>
    </w:p>
    <w:p w14:paraId="5882B32F" w14:textId="77777777" w:rsidR="002858AE" w:rsidRPr="00E97E0B" w:rsidRDefault="002858AE" w:rsidP="002858AE">
      <w:pPr>
        <w:spacing w:before="100" w:beforeAutospacing="1" w:after="100" w:afterAutospacing="1"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Dinden ve dinlerden bahsedilmesinin ve dini kimliklerle iletişim kurulmasının doğallığını savunan konuşmacı, pek çok farklı konuşmasında, cemaatçilik ve cemaatçi kimlikle mücadeleden söz etmektedir. Paradoksal bir biçimde, dini kimliklerle iletişim kurulması ve onların desteklenmesi gerektiği düşüncesi ile cemaatçiliğin cumhuriyete zarar verdiği düşüncesi, bahsi geçen toplum veya pratiklerle ilgisine göre aynı ağızdan telafuz edilmektedir. Burada </w:t>
      </w:r>
      <w:r w:rsidRPr="00E97E0B">
        <w:rPr>
          <w:rFonts w:ascii="Times" w:eastAsia="Times New Roman" w:hAnsi="Times" w:cs="Times New Roman"/>
          <w:sz w:val="24"/>
          <w:szCs w:val="24"/>
        </w:rPr>
        <w:lastRenderedPageBreak/>
        <w:t xml:space="preserve">hangi noktada neyin dile getirildiği veya getirilmediğine göre öteki konumları görünür hale gelmektedir. </w:t>
      </w:r>
    </w:p>
    <w:p w14:paraId="2920EC37" w14:textId="77777777" w:rsidR="002858AE" w:rsidRPr="00E97E0B" w:rsidRDefault="002858AE" w:rsidP="002858AE">
      <w:pPr>
        <w:spacing w:before="120" w:after="120"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 xml:space="preserve">“…İsrail’i seçtiniz ama biliyorum ki aynı zamanda sonuna kadar Fransız kalarak bu tercihi yaptınız. Bu çifte sadakatiniz Fransa için bir şans, bir zenginliktir. Kimse de size bu sadakatten ötürü bir şey diyemez. Bugün Fransa’da kötü hissedildiğinden değil, rıza ile İsrail seçilmelidir. Biliyorum ki bu her zaman böyle olmadı. Biliyorum ki bazıları bu ayrılmayı tercih etti çünkü Fransa’da bir antisemitizm yükselişi algıladılar. Bunun açıkça konuşulmasını istiyorum. Bundan korkmamalı. Antisemitizm açıklanmaz, onunla savaşılır. Bu mücadele -size söylüyorum- zayıflamayacak. Ben de bir Fransız gencin kipa taktığı bahanesiyle başına birkaç gün önce gelenlerden özellikle rahatsız oldum. Bir serseri takımı ona saldırmış…” </w:t>
      </w:r>
      <w:r w:rsidRPr="00E97E0B">
        <w:rPr>
          <w:rFonts w:ascii="Times" w:eastAsia="Times New Roman" w:hAnsi="Times" w:cs="Times New Roman"/>
          <w:sz w:val="24"/>
          <w:szCs w:val="24"/>
          <w:vertAlign w:val="superscript"/>
        </w:rPr>
        <w:footnoteReference w:id="299"/>
      </w:r>
      <w:r w:rsidRPr="00E97E0B">
        <w:rPr>
          <w:rFonts w:ascii="Times" w:eastAsia="Times New Roman" w:hAnsi="Times" w:cs="Times New Roman"/>
          <w:sz w:val="24"/>
          <w:szCs w:val="24"/>
        </w:rPr>
        <w:t xml:space="preserve"> </w:t>
      </w:r>
      <w:r w:rsidRPr="00E97E0B">
        <w:rPr>
          <w:rFonts w:ascii="Times" w:eastAsia="Times New Roman" w:hAnsi="Times" w:cs="Times New Roman"/>
          <w:sz w:val="24"/>
          <w:szCs w:val="24"/>
        </w:rPr>
        <w:tab/>
      </w:r>
    </w:p>
    <w:p w14:paraId="6F12C129" w14:textId="77777777" w:rsidR="002858AE" w:rsidRPr="00E97E0B" w:rsidRDefault="002858AE" w:rsidP="002858AE">
      <w:pPr>
        <w:spacing w:before="120" w:after="120" w:line="360" w:lineRule="auto"/>
        <w:jc w:val="both"/>
        <w:rPr>
          <w:rFonts w:ascii="Times" w:eastAsia="Times New Roman" w:hAnsi="Times" w:cs="Times New Roman"/>
          <w:sz w:val="24"/>
          <w:szCs w:val="24"/>
        </w:rPr>
      </w:pPr>
      <w:r w:rsidRPr="00E97E0B">
        <w:rPr>
          <w:rFonts w:ascii="Times" w:eastAsia="Times New Roman" w:hAnsi="Times" w:cs="Times New Roman"/>
          <w:sz w:val="24"/>
          <w:szCs w:val="24"/>
        </w:rPr>
        <w:tab/>
        <w:t xml:space="preserve">Sarkozy, Asyalı ve Yahudi göçmenlere diğerlerinden farklı olarak, çifte aidiyet vurgusu yapmaktadır. Bu ifadede, iki grubun diğer göçmen kökenli veya çok kültürlü gruplara göre çift kültürlü olma hakkının daha belirgin bir biçimde savunulduğu anlaşılmaktadır. Öte yandan, diğer göçmenlere karşı takınılan tavrın aksine, iki toplumun üyeleri için, kendi kökenlerinin kültürü ile Fransız kültüründen yalnızca birini diğerini bir kenara bırakmak suretiyle tercih etme zorunluluğu söylemsel düzeyde talep edilmemektedir. Burada birazdan ele alınacağı üzere, Sarkozy’nin ulusal düzeyde ekonomik çıkar merkezli ve pragmatik yaklaşımının ön plana çıktığı anlaşılmaktadır. Sarkozy’nin, gelir ve mal varlığı düzeyi daha yüksek olan, uluslararası düzeyde ticari ve siyasi yarar getirebilecek ve düşük yoğunluklu nüfusa sahip azınlık gruplara bu anlamda daha esnek bir biçimde yaklaştığı görülmektedir. Bu çerçevede, çift kimlikliliğin “sadakat” ile belirtilmesi, grubun çifte kimliğe sahip olmasını kabul etmesinin ötesinde, çift kimlikli oluşlarını onayladığı ve hatta teşvik ettiği anlaşılmaktadır. Bu onaylama ve teşvik, Asyalılara seslenirken atalarının Asyalı olması şeklinde daha sınırlı bir çift kimlilik sunduğu </w:t>
      </w:r>
      <w:r w:rsidRPr="00E97E0B">
        <w:rPr>
          <w:rFonts w:ascii="Times" w:eastAsia="Times New Roman" w:hAnsi="Times" w:cs="Times New Roman"/>
          <w:sz w:val="24"/>
          <w:szCs w:val="24"/>
        </w:rPr>
        <w:lastRenderedPageBreak/>
        <w:t xml:space="preserve">göz önünde bulundurulduğunda “hoşgörü” düzeyinin en yükseğe çıktığı bir söylem olarak anlaşılabilir. Ayrıca, kimsenin bu çifte kimliği sorgulayamayacağı belirtilerek kullanılan bu dilin tesadüfen değil; bilinçli olarak seçildiği belirtilmektedir. Cumhuriyette cemaatleşmeye yer olmadığı anlayışını benimsediği pek çok konuşmasından anlaşıldığı üzere, konuşmacının bunu bir zenginlik ve şans olarak tanımlaması da söz konusu anlamı sabitler niteliktedir. </w:t>
      </w:r>
    </w:p>
    <w:p w14:paraId="3D89312A" w14:textId="77777777" w:rsidR="002858AE" w:rsidRPr="00E97E0B" w:rsidRDefault="002858AE" w:rsidP="002858AE">
      <w:pPr>
        <w:tabs>
          <w:tab w:val="left" w:pos="142"/>
        </w:tabs>
        <w:spacing w:before="120" w:after="120" w:line="360" w:lineRule="auto"/>
        <w:jc w:val="both"/>
        <w:rPr>
          <w:rFonts w:ascii="Times" w:eastAsia="Times New Roman" w:hAnsi="Times" w:cs="Times New Roman"/>
          <w:sz w:val="24"/>
          <w:szCs w:val="24"/>
        </w:rPr>
      </w:pPr>
      <w:r w:rsidRPr="00E97E0B">
        <w:rPr>
          <w:rFonts w:ascii="Times" w:eastAsia="Times New Roman" w:hAnsi="Times" w:cs="Times New Roman"/>
          <w:sz w:val="24"/>
          <w:szCs w:val="24"/>
        </w:rPr>
        <w:tab/>
      </w:r>
      <w:r w:rsidRPr="00E97E0B">
        <w:rPr>
          <w:rFonts w:ascii="Times" w:eastAsia="Times New Roman" w:hAnsi="Times" w:cs="Times New Roman"/>
          <w:sz w:val="24"/>
          <w:szCs w:val="24"/>
        </w:rPr>
        <w:tab/>
        <w:t>Fransa’da yaşayan Yahudilerin İsrail’e giderek orada yaşama haklarını kullanmak istemelerine itiraz etmemekle birlikte Sarkozy, “maruz kalınan değil tercih edilen göçü” tercih ettiğine dair söylemine uygun bir biçimde, Yahudi toplumunun güvensiz hissettiği için gitmesinden rahatsız olduğunu da göstermektedir. Bununla birlikte, Sarkozy’nin antisemitizmin Fransa’da yükseldiğine yönelik algıyı dile getirmesi anlamlıdır. Her ne kadar ifadesinde bu şekilde bir algının oluştuğu gibi bir anlam olsa da bu algının Yahudi toplumunda oluştuğunu kabul etmesi ve İsrail’de yaşamayı tercih edenlerin en azından bir kısmının bu sebeple gittiğini söyleyebilmesi, resmi bir ağızdan bu durumun kabulü anlamına gelmektedir. Ayrıca, konuşmacı, ülkenin en üst düzey yetkilisi olarak bu durumu kabul ederek, Yahudi toplumuna güven vermeyi de hedeflemiş olabilir. “Açıklıkla konuşmak istediği” konunun bu olması, yine güveni pekiştirme amacıyla, önceki ifadeyi desteklemek ve ifadenin ne anlama geldiğini işaret etmek içindir. Konunun konuşulmasından korkulmaması gerektiğini söyleyerek, risk aldığını kastetmekte, ardından ise antisemitizmi anlamaya ve bu yolla çözmeye çalışmanın anlamsızlığına vurgu yapmaktadır. Bu söylem, İsrail ve Yahudi toplumunda sıklıkla benimsenen bir yaklaşımı ifade etmektedir.</w:t>
      </w:r>
      <w:r w:rsidRPr="00E97E0B">
        <w:rPr>
          <w:rFonts w:ascii="Times" w:eastAsia="Times New Roman" w:hAnsi="Times" w:cs="Times New Roman"/>
          <w:sz w:val="24"/>
          <w:szCs w:val="24"/>
          <w:vertAlign w:val="superscript"/>
        </w:rPr>
        <w:footnoteReference w:id="300"/>
      </w:r>
      <w:r w:rsidRPr="00E97E0B">
        <w:rPr>
          <w:rFonts w:ascii="Times" w:eastAsia="Times New Roman" w:hAnsi="Times" w:cs="Times New Roman"/>
          <w:sz w:val="24"/>
          <w:szCs w:val="24"/>
        </w:rPr>
        <w:t xml:space="preserve"> Mücadelenin devam edeceği ve güç yitirmeyeceği ifade edilirken, araya eklenen “size söylüyorum” cümlesi Yahudi toplumuna örtülü bir biçimde ülkeden ayrılmaktan vazgeçmeleri için bir mesaj olarak yorumlanabilir, çünkükonuşmayı yaptığı kişilere söylediğini ayrıca belirtme ihtiyacını içeren mesajın aynı zamanda bir tavır olduğu veya edimi talep ettiği anlaşılabilir. Bütün bu anlamı derinleştiren son ifade ise cumhurbaşkanının kipa taşıdığı gerekçesiyle saldırıya uğradığından bahsetmesi olmuştur. Saldırı zaten bir suçtur ve şiddet kullanımı ancak devletin tekelinde ve </w:t>
      </w:r>
      <w:r w:rsidRPr="00E97E0B">
        <w:rPr>
          <w:rFonts w:ascii="Times" w:eastAsia="Times New Roman" w:hAnsi="Times" w:cs="Times New Roman"/>
          <w:sz w:val="24"/>
          <w:szCs w:val="24"/>
        </w:rPr>
        <w:lastRenderedPageBreak/>
        <w:t>belirli sınırlar içinde mümkün ve meşru görülebilir, ancak konuşmasında, cumhurbaşkanı olarak kipa taşıması gerekçesiyle saldırıya uğrayan bir gençten bahsetmiştir. Bahane ifadesinin kullanımı yerinde değildir zira kipa taşımak saldırıya uğramak için bir neden teşkil edemez. Burada siyasi söylem açısından önemli olan, mağduriyetin kıyafet taşınması üzerinden ifade edilmesidir. Zira Müslümanlara yaptığı cumhuriyet değerleri üzerine konuşmasında Sarkozy, burkanın kabul edilemez olduğunu söylemiş ve bunu Cumhuriyet değerleri bağlamında dile getirerek herhangi bir pratik güvenlik gerekçesi sunma gereği duymamıştır. Son olarak, serseri ifadesi Sarkozy tarafından kamuoyunda genel olarak yoksul ve göçmenlere yönelik kendisi tarafından atfedilen bir sıfat olarak bilindiğinden, başkaca göçmen grupları bir diğer kimliği korurken tezatlık içinde hedef alması öteki konumlarını gösterebilecek bir işarettir.</w:t>
      </w:r>
      <w:r w:rsidRPr="00E97E0B">
        <w:rPr>
          <w:rFonts w:ascii="Times" w:eastAsia="Times New Roman" w:hAnsi="Times" w:cs="Times New Roman"/>
          <w:sz w:val="24"/>
          <w:szCs w:val="24"/>
          <w:vertAlign w:val="superscript"/>
        </w:rPr>
        <w:footnoteReference w:id="301"/>
      </w:r>
      <w:r w:rsidRPr="00E97E0B">
        <w:rPr>
          <w:rFonts w:ascii="Times" w:eastAsia="Times New Roman" w:hAnsi="Times" w:cs="Times New Roman"/>
          <w:sz w:val="24"/>
          <w:szCs w:val="24"/>
        </w:rPr>
        <w:t xml:space="preserve">  </w:t>
      </w:r>
    </w:p>
    <w:p w14:paraId="532FE80E" w14:textId="77777777" w:rsidR="002858AE" w:rsidRPr="00E97E0B" w:rsidRDefault="002858AE" w:rsidP="002858AE">
      <w:pPr>
        <w:spacing w:before="120" w:after="120"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“…ülkelerimizin kurucu unsurları iç içe geçmiştir: (Ders Olarak Tarih) Fransa’da biraz İsrail, İsrail’de biraz Fransa vardır. Fransa’daki Yahudi toplumu ile İsrail’de yaşamayı ve çalışmayı seçen Fransızlar ülkelerimiz arasında mevcut olan karşılıklı çekimin imtiyazlı taşıyıcıları ve aktarıcılardır…”</w:t>
      </w:r>
      <w:r w:rsidRPr="00E97E0B">
        <w:rPr>
          <w:rFonts w:ascii="Times" w:eastAsia="Times New Roman" w:hAnsi="Times" w:cs="Times New Roman"/>
          <w:sz w:val="24"/>
          <w:szCs w:val="24"/>
          <w:vertAlign w:val="superscript"/>
        </w:rPr>
        <w:footnoteReference w:id="302"/>
      </w:r>
    </w:p>
    <w:p w14:paraId="6FE64C15"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Yahudi Toplumu’nun Fransız tarihindeki mevcudiyeti, Antik Roma medeniyeti dönemi dâhil olmak üzere oldukça eskilere dayanmaktadır.</w:t>
      </w:r>
      <w:r w:rsidRPr="00E97E0B">
        <w:rPr>
          <w:rFonts w:ascii="Times" w:eastAsia="Times New Roman" w:hAnsi="Times" w:cs="Times New Roman"/>
          <w:sz w:val="24"/>
          <w:szCs w:val="24"/>
          <w:vertAlign w:val="superscript"/>
        </w:rPr>
        <w:footnoteReference w:id="303"/>
      </w:r>
      <w:r w:rsidRPr="00E97E0B">
        <w:rPr>
          <w:rFonts w:ascii="Times" w:eastAsia="Times New Roman" w:hAnsi="Times" w:cs="Times New Roman"/>
          <w:sz w:val="24"/>
          <w:szCs w:val="24"/>
        </w:rPr>
        <w:t xml:space="preserve"> Buna ilave olarak, Yahudilerin hem </w:t>
      </w:r>
      <w:r w:rsidRPr="00E97E0B">
        <w:rPr>
          <w:rFonts w:ascii="Times" w:eastAsia="Times New Roman" w:hAnsi="Times" w:cs="Times New Roman"/>
          <w:i/>
          <w:iCs/>
          <w:sz w:val="24"/>
          <w:szCs w:val="24"/>
        </w:rPr>
        <w:t>Ancien Régime</w:t>
      </w:r>
      <w:r w:rsidRPr="00E97E0B">
        <w:rPr>
          <w:rFonts w:ascii="Times" w:eastAsia="Times New Roman" w:hAnsi="Times" w:cs="Times New Roman"/>
          <w:sz w:val="24"/>
          <w:szCs w:val="24"/>
        </w:rPr>
        <w:t xml:space="preserve"> döneminde hem de 1789 Devrimi sonrasındaki süreçte Katolik kökenli Fransa ile karmaşık ilişkileri söz konusudur. Sarkozy’nin Fransa ve Yahudi Toplumu arasındaki ilişkilerin tarihsel derinliğine vurgu yapması, hem </w:t>
      </w:r>
      <w:r w:rsidRPr="00E97E0B">
        <w:rPr>
          <w:rFonts w:ascii="Times" w:eastAsia="Times New Roman" w:hAnsi="Times" w:cs="Times New Roman"/>
          <w:i/>
          <w:iCs/>
          <w:sz w:val="24"/>
          <w:szCs w:val="24"/>
        </w:rPr>
        <w:t>aliya</w:t>
      </w:r>
      <w:r w:rsidRPr="00E97E0B">
        <w:rPr>
          <w:rFonts w:ascii="Times" w:eastAsia="Times New Roman" w:hAnsi="Times" w:cs="Times New Roman"/>
          <w:sz w:val="24"/>
          <w:szCs w:val="24"/>
        </w:rPr>
        <w:t xml:space="preserve"> yaparak İsrail’e dönen vatandaşlarına Fransa ile bağlarını koparmamaları yönünde bir mesaj olarak hem de Fransa’da kalmaya devam eden Yahudilerin evlerinde olduğu anlamına gelen bir çağrı niteliğindedir. Karşılıklı çekimin taşıyıcısı imtiyazı, hem olumlu bir öteki imajını vermektedir hem de bu olumlu durumu bir imtiyaz olarak özelleştirmektedir. İki tarafın birbirlerine olumlu yaklaşımları olduğu ve birbirlerine fayda sağladıkları imasını taşıyan bu ifade, bu </w:t>
      </w:r>
      <w:r w:rsidRPr="00E97E0B">
        <w:rPr>
          <w:rFonts w:ascii="Times" w:eastAsia="Times New Roman" w:hAnsi="Times" w:cs="Times New Roman"/>
          <w:sz w:val="24"/>
          <w:szCs w:val="24"/>
        </w:rPr>
        <w:lastRenderedPageBreak/>
        <w:t>faydanın imtiyazlı taşıyıcıları olarak nitelendirdiği Fransa Yahudilerini ayrıcalıklı bir konumda tanımlamaktadır.</w:t>
      </w:r>
    </w:p>
    <w:p w14:paraId="7101AA27"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Fransa’ya gelen göçü durdurmak olmasa da sınırlandırmak ve yavaşlatmak isteyen ve ülkenin kaldırabileceğinden daha fazla göçün ülkeye gelmekte olduğunu ve göçmenlerin de fazla olduğunu başkaca fırsatlarda dile getiren cumhurbaşkanının bu ifadeleri, Yahudi toplumuna özel olarak söylemesi, öteki konumu açısından dikkate değerdir. Öte yandan, Fransa’daki Yahudi nüfusu göçmen değil, hâlihazırda mevcut nüfusun bir parçasıdır. Bu nedenle, söylem sadece ilişkileri iyileştirme ve Yahudi toplumunun ticari faaliyetleri üzerinden Fransa devletine fayda sağlamanın ötesinde bir toplumsal bağın olduğunu göstermektedir. İsrail’de Fransa’nın bir parçasının ve Fransa’da da İsrail’in bir parçasının olduğu söylemi de bu bağlamda anlam kazanmaktadır. </w:t>
      </w:r>
    </w:p>
    <w:p w14:paraId="67E982FE" w14:textId="32CF0A8E" w:rsidR="002858AE" w:rsidRPr="00E97E0B" w:rsidRDefault="002858AE" w:rsidP="002858AE">
      <w:pPr>
        <w:spacing w:before="120" w:after="120"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“…Bu barışın modern ve egemen, sürdürülebilir ve demokratik, İsrail’le yan yana barış ve güvenlik içinde yaşayan bir Filistin devletinden geçtiğini söylemek, İsrail’in uzun vadeli güvenliğinin başlıca şartlarından biri de olan bir Filistin devletinden geçtiğini…burada söylemek istiyorum. Güvenik ve barış için çalışacağız…”</w:t>
      </w:r>
      <w:r w:rsidRPr="00E97E0B">
        <w:rPr>
          <w:rFonts w:ascii="Times" w:eastAsia="Times New Roman" w:hAnsi="Times" w:cs="Times New Roman"/>
          <w:sz w:val="24"/>
          <w:szCs w:val="24"/>
          <w:vertAlign w:val="superscript"/>
        </w:rPr>
        <w:footnoteReference w:id="304"/>
      </w:r>
    </w:p>
    <w:p w14:paraId="0453289D" w14:textId="29AE5680"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5. Cumhuriyetin erken dönemlerine rast gelen Cezayir Savaşı, Süveyş Kanalı müdahalesi ve Petrol Krizi sebebiyle, Fransa Cumhuriyeti’nin Arap devletleriyle iyi ilişkiler kurmaya yönelik bir politikası olduğu söylenebilir. Daha sonra François Mitterrand döneminde, İsrail’e cumhurbaşkanı düzeyinde ilk ziyaret gerçekleştirilerek daha dengeli bir politika izlenmeye başlanmıştır. Ancak, Jacques Chirac döneminde bu politika, Arap devletleri lehine İsrail’le bazı anlaşmazlıkların belirginleşmesine yol açacak şekilde Mitterand öncesi döneme benzer bir şekilde sürmüştür. Sarkozy ise cumhurbaşkanlığı döneminin başında İsrail’e daha yakın bir çizgide olmasına rağmen, 2008’de İsrail’de Kudüs’ün iki devletin de başkenti olmasını teklif eden bir çözüm önermiştir.</w:t>
      </w:r>
      <w:r w:rsidRPr="00E97E0B">
        <w:rPr>
          <w:rFonts w:ascii="Times" w:eastAsia="Times New Roman" w:hAnsi="Times" w:cs="Times New Roman"/>
          <w:sz w:val="24"/>
          <w:szCs w:val="24"/>
          <w:vertAlign w:val="superscript"/>
        </w:rPr>
        <w:footnoteReference w:id="305"/>
      </w:r>
      <w:r w:rsidRPr="00E97E0B">
        <w:rPr>
          <w:rFonts w:ascii="Times" w:eastAsia="Times New Roman" w:hAnsi="Times" w:cs="Times New Roman"/>
          <w:sz w:val="24"/>
          <w:szCs w:val="24"/>
        </w:rPr>
        <w:t xml:space="preserve"> Bu teklif, elbette yalnızca İsrail ve Yahudi toplumuna yaklaşımıyla açıklanamaz. Burada uluslararası ilişkiler </w:t>
      </w:r>
      <w:r w:rsidRPr="00E97E0B">
        <w:rPr>
          <w:rFonts w:ascii="Times" w:eastAsia="Times New Roman" w:hAnsi="Times" w:cs="Times New Roman"/>
          <w:sz w:val="24"/>
          <w:szCs w:val="24"/>
        </w:rPr>
        <w:lastRenderedPageBreak/>
        <w:t>bakımından gözetilmesi gereken hassas bir dengenin olduğunu ve bu dengede Arap devletleri ile olan ticari ve siyasi ilişkilere verilen önemin de rol oynadığı hatırlanmalıdır. İç politikada Yahudi toplumunu daha açık bir şekilde “biz” e yakın hatta “biz”in bir parçası olarak konumlandıran Sarkozy, Filistin meselesinde ilk dönemleri hariç daha belirgin bir şekilde Filistin devletinin de içinde olduğu bir çözüm önerisini sürdürmüştür. Bunun İsrail ve Yahudi toplumu tarafından olumsuz karşılanan bir söylem olmasına karşın, aslında Sarkozy’nin konumlandırmasının algılanandan daha olumlu olduğunu söylenebilir.</w:t>
      </w:r>
    </w:p>
    <w:p w14:paraId="0549B674" w14:textId="18C7F785" w:rsidR="002858AE" w:rsidRPr="00E97E0B" w:rsidRDefault="002858AE" w:rsidP="002B7FA9">
      <w:pPr>
        <w:pStyle w:val="Heading3"/>
      </w:pPr>
      <w:bookmarkStart w:id="163" w:name="_Toc141133105"/>
      <w:r w:rsidRPr="00E97E0B">
        <w:t>4.</w:t>
      </w:r>
      <w:r w:rsidR="008F6C47" w:rsidRPr="00E97E0B">
        <w:t>2</w:t>
      </w:r>
      <w:r w:rsidRPr="00E97E0B">
        <w:t>.6. Romanlar ve Göçebe Topluluklar</w:t>
      </w:r>
      <w:bookmarkEnd w:id="163"/>
    </w:p>
    <w:p w14:paraId="77E92214"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Romanlar ve göçebe topluluklar, çok eski zamanlardan beri Fransa’da yaşayan topluluklardır. Çoğunlukla ekonomik nedenlerle Fransa gibi Batı Avrupa ülkelerine göç etmek durumunda kalan bu topluluklar, kendi içlerinde oldukça çeşitlidir. Bir kısmı Fransız vatandaşı olup, bir kısmı Romanya ve Bulgaristan gibi Doğu Avrupa ülkelerinden gelen ve yabancı uyruklu topluluklardır. Sayıları tahmini olarak 20000 civarındadır. Yasal yollardan ekonomik hayata katılmalarının önünde pek çok kısıt olduğundan çoğunlukla yasal olmayan ekonomik faaliyetlere yönelmeleri söz konusudur.</w:t>
      </w:r>
      <w:r w:rsidRPr="00E97E0B">
        <w:rPr>
          <w:rFonts w:ascii="Times" w:eastAsia="Times New Roman" w:hAnsi="Times" w:cs="Times New Roman"/>
          <w:sz w:val="24"/>
          <w:szCs w:val="24"/>
          <w:vertAlign w:val="superscript"/>
        </w:rPr>
        <w:footnoteReference w:id="306"/>
      </w:r>
      <w:r w:rsidRPr="00E97E0B">
        <w:rPr>
          <w:rFonts w:ascii="Times" w:eastAsia="Times New Roman" w:hAnsi="Times" w:cs="Times New Roman"/>
          <w:sz w:val="24"/>
          <w:szCs w:val="24"/>
        </w:rPr>
        <w:t xml:space="preserve">  </w:t>
      </w:r>
    </w:p>
    <w:p w14:paraId="45CD6455"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Sarkozy, göçmen topluluklar ve toplumda çeşitli etnik alt kollarını içeren Roman gruplarla ilgili sıklıkla herhangi bir söylemde bulunmamakla birlikte, sonrasında kendisinin de kısmen pişmanlığını dile getirdiği 30 Temmuz 2010 konuşmasında dikkat çekici bir öteki konumuna söylemine yer vermiştir. </w:t>
      </w:r>
    </w:p>
    <w:p w14:paraId="738EEF83" w14:textId="77777777" w:rsidR="002858AE" w:rsidRPr="00E97E0B" w:rsidRDefault="002858AE" w:rsidP="002858AE">
      <w:pPr>
        <w:spacing w:before="120" w:after="120"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 xml:space="preserve">“…Genel kural açıktır: Kaçaklar ülkelerine geri gönderilmelidir. (Kural İfadesi) Tam da bu düşünceyle İçişleri Bakanı’ndan Romanların bu yabani kamp yerleşimlerine son vermesini istedim. Bunlar düzgün olmayan ve Fransa’da hoşgörülemeyecek alanlardır. (Ötekileştirme) Burada kesinlikle Romanları yaftalamak gibi bir şey söz konusu değildir. (Yadsıma İfadesi) Besson yasasından bu yana kendilerine sunulan alanlarda büyük ilerleme kaydettik. 2002’de İçişleri Bakanı olduğumda park alanlarının %20’si tahsis edilmişti. Bakanla durumu tespit ettim. Bugün yasal park alanlarının %60’ı tahsis edilmiş. (Olumsal Olarak Kendini Sunma) Fransa’ya yasal yerleşimlere yerleşmeye gelen Romanlar hoş karşılanır. </w:t>
      </w:r>
      <w:r w:rsidRPr="00E97E0B">
        <w:rPr>
          <w:rFonts w:ascii="Times" w:eastAsia="Times New Roman" w:hAnsi="Times" w:cs="Times New Roman"/>
          <w:sz w:val="24"/>
          <w:szCs w:val="24"/>
        </w:rPr>
        <w:lastRenderedPageBreak/>
        <w:t xml:space="preserve">Fakat devlet başkanı olarak 2010 yılında 539 (Sayı Oyunu) yasadışı kamp alanının olmasını kabul edebilir miyim? Kim kabul edebilir?” (Empati İfadesi) </w:t>
      </w:r>
      <w:r w:rsidRPr="00E97E0B">
        <w:rPr>
          <w:rFonts w:ascii="Times" w:eastAsia="Times New Roman" w:hAnsi="Times" w:cs="Times New Roman"/>
          <w:sz w:val="24"/>
          <w:szCs w:val="24"/>
          <w:vertAlign w:val="superscript"/>
        </w:rPr>
        <w:footnoteReference w:id="307"/>
      </w:r>
    </w:p>
    <w:p w14:paraId="4D875E3D" w14:textId="3EE27DE3"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Konuşmacının bu konuşmadan iki yıl sonra çıkarmış olmayı isteyeceğini söylediği kısım yalnızca Romanlar ifadesidir. Seçime yalnızca aylar kala bu şekilde bir düzeltme yapmak istemesi, stratejik açıdan anlaşılabilir bir durumdur. Adı geçen Roman kimliğine sahip topluluklar açısından rahatsızlık yaratabilecek bu kısım, aslında konuşmanın genel içeriği düşünüldüğünde diğer kısımlara göre Romanların suçla ve yasadışı eylemlerle ilişkilendirilmesi açısından daha güçlü bir anlamı sahiptir. Kural ifadesi ile başlayan bu kısım Romanlarla yasadışılığı güçlü bir şekilde bağdaştırmaktadır. Kaçak durumda olanların gönderilmesini takip eden ifade, cumhurbaşkanının bakanına verdiği talimata vurgu yapmaktadır. Burada muktedir ve kabinesine hâkim bir başkan imajının da öne çıkarıldığı görülmektedir. Talimatın içeriği ise şiddetli bir duyguya işaret etmektedir: “Romanların bu yabani kamp yerleşimlerine son vermek.” Söz konusu ifadenin sonunda yer alan son vermek, tamamen sona erdirmeyi </w:t>
      </w:r>
      <w:r w:rsidR="00262685" w:rsidRPr="00E97E0B">
        <w:rPr>
          <w:rFonts w:ascii="Times" w:eastAsia="Times New Roman" w:hAnsi="Times" w:cs="Times New Roman"/>
          <w:sz w:val="24"/>
          <w:szCs w:val="24"/>
        </w:rPr>
        <w:t>kastederek</w:t>
      </w:r>
      <w:r w:rsidRPr="00E97E0B">
        <w:rPr>
          <w:rFonts w:ascii="Times" w:eastAsia="Times New Roman" w:hAnsi="Times" w:cs="Times New Roman"/>
          <w:sz w:val="24"/>
          <w:szCs w:val="24"/>
        </w:rPr>
        <w:t xml:space="preserve"> bir çırpıda çözüm bulan dinamik güçlü ve hiddetli başkan imajını güçlendirmeye yönelik bir ifade gibi görünmektedir. Romanların kurdukları kampların “yabani” olarak nitelenmesi oldukça ağır bir ifadedir ve açık bir şekilde ötekileştirme ifadesidir. Üstelik ifadede bu durum genelleştirilmiş ve rencide edici anlamı böylelikle güçlenmiştir. Tipik bir şekilde, yadsıma ifadesi ile daha önceki konuşma örneklerinde sıkça rastlanıldığı üzere önceki sert ifadenin hemen ardından tam olarak yaftalamayı inkâr eden bir cümle ile önceki sert ifade yumuşatılmıştır. </w:t>
      </w:r>
    </w:p>
    <w:p w14:paraId="5D37287E"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Sarkozy, alıntılanan kısmın devamında başta özne olarak </w:t>
      </w:r>
      <w:r w:rsidRPr="00E97E0B">
        <w:rPr>
          <w:rFonts w:ascii="Times" w:eastAsia="Times New Roman" w:hAnsi="Times" w:cs="Times New Roman"/>
          <w:i/>
          <w:iCs/>
          <w:sz w:val="24"/>
          <w:szCs w:val="24"/>
        </w:rPr>
        <w:t>ben</w:t>
      </w:r>
      <w:r w:rsidRPr="00E97E0B">
        <w:rPr>
          <w:rFonts w:ascii="Times" w:eastAsia="Times New Roman" w:hAnsi="Times" w:cs="Times New Roman"/>
          <w:sz w:val="24"/>
          <w:szCs w:val="24"/>
        </w:rPr>
        <w:t xml:space="preserve">i kullanırken, Besson yasalarından bu yana kaydedilen gelişmeleri tasvir ederken </w:t>
      </w:r>
      <w:r w:rsidRPr="00E97E0B">
        <w:rPr>
          <w:rFonts w:ascii="Times" w:eastAsia="Times New Roman" w:hAnsi="Times" w:cs="Times New Roman"/>
          <w:i/>
          <w:iCs/>
          <w:sz w:val="24"/>
          <w:szCs w:val="24"/>
        </w:rPr>
        <w:t>biz</w:t>
      </w:r>
      <w:r w:rsidRPr="00E97E0B">
        <w:rPr>
          <w:rFonts w:ascii="Times" w:eastAsia="Times New Roman" w:hAnsi="Times" w:cs="Times New Roman"/>
          <w:sz w:val="24"/>
          <w:szCs w:val="24"/>
        </w:rPr>
        <w:t xml:space="preserve">e geçiş </w:t>
      </w:r>
      <w:r w:rsidRPr="00E97E0B">
        <w:rPr>
          <w:rFonts w:ascii="Times" w:eastAsia="Times New Roman" w:hAnsi="Times" w:cs="Times New Roman"/>
          <w:sz w:val="24"/>
          <w:szCs w:val="24"/>
        </w:rPr>
        <w:lastRenderedPageBreak/>
        <w:t xml:space="preserve">yapmıştır. Sonrasında, alan tahsisini edilgen cümle kurarak anlatmayı tercih etmiştir. Burada bir taraftan zarar verdiğini ima ettiği Romanları suçlayan konuşmacı, buna mukabil onlara alan tahsis ettiğini söylemekte, bununla az evvel verdiği güçlü ve sert imajla zıtlık oluşturan lütufkâr bir imaj vererek </w:t>
      </w:r>
      <w:r w:rsidRPr="00E97E0B">
        <w:rPr>
          <w:rFonts w:ascii="Times" w:eastAsia="Times New Roman" w:hAnsi="Times" w:cs="Times New Roman"/>
          <w:i/>
          <w:iCs/>
          <w:sz w:val="24"/>
          <w:szCs w:val="24"/>
        </w:rPr>
        <w:t>ben</w:t>
      </w:r>
      <w:r w:rsidRPr="00E97E0B">
        <w:rPr>
          <w:rFonts w:ascii="Times" w:eastAsia="Times New Roman" w:hAnsi="Times" w:cs="Times New Roman"/>
          <w:sz w:val="24"/>
          <w:szCs w:val="24"/>
        </w:rPr>
        <w:t xml:space="preserve"> ve </w:t>
      </w:r>
      <w:r w:rsidRPr="00E97E0B">
        <w:rPr>
          <w:rFonts w:ascii="Times" w:eastAsia="Times New Roman" w:hAnsi="Times" w:cs="Times New Roman"/>
          <w:i/>
          <w:iCs/>
          <w:sz w:val="24"/>
          <w:szCs w:val="24"/>
        </w:rPr>
        <w:t>biz</w:t>
      </w:r>
      <w:r w:rsidRPr="00E97E0B">
        <w:rPr>
          <w:rFonts w:ascii="Times" w:eastAsia="Times New Roman" w:hAnsi="Times" w:cs="Times New Roman"/>
          <w:sz w:val="24"/>
          <w:szCs w:val="24"/>
        </w:rPr>
        <w:t xml:space="preserve">i iyi gösterir bir söylem benimsemektedir. Bu kendini olumlu gösterme olarak değerlendirilebilir. Yalnız bunu yaparken, öznesi belli olmayan bir yapıyı tercih ettiği görülmektedir. Bunun nedeni, ifadelerdeki ani ton değişikliğinin sorumluluğunun yüklenmemek istenmesi olabilir. Zira Sarkozy icraatlarını anlatma zorunluluğu hisseden bir siyasetçi olduğu kadar, kurumsal devlet kişiliğini de temsil etmektedir. Bununla birlikte, tahsis edilen kamp alanlarının da seçmeni tarafından tamamen onaylandığını düşünmek yanlış olacaktır. Bu nedenle, Romanların lehine olarak sunması gerekecek sosyal devlet ilkesini gerektiren icraatların sorumluluğunu doğrudan kendisi yüklenmek istememiş olabilir. Sonrasında, kamp sayısı üzerinden bir sınır aşımı ima edilip empati ifadesine başvurularak bunun kabul edilemez olduğu kastedilmektedir. </w:t>
      </w:r>
    </w:p>
    <w:p w14:paraId="28195DEA"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Göçebe topluluklar ve Romanlar genel olarak sayıları az olmasına rağmen, yaşam tarzlarındaki ve kültürlerindeki farklılıklar nedeniyle daha görünür olmuş ve entegrasyon sorunları, az nüfuslarına oranla sık gündeme gelen bir topluluktur. Bu topluluklar birbirinden farklı etnik kökenlerden ve farklı hukuki statülerde olmalarına ve başlıbaşına bir toplum oluşturmamalarına rağmen sıklıkla karıştırılmaktadır. Sarkozy’nin siyasal söyleminde de Göçebe topluluklar ve Romanlar genelde yasadışılıkla anılmışlardır. Burada, göçebe toplulukların ve Romanların, bir topluluk olarak herhangi bir tehdit oluşturmaktan ziyade, ülke ekonomisine bir yük teşkil ettikleri şeklinde algılandığı anlaşılmaktadır. Bu toplulukların, ülke çapında yasal düzeyde önemli ekonomik faaliyetleri temsil etmiyor olması ve herhangi bir ülkenin diyasporası olarak ülkeye katkısının beklenemiyor oluşu da bu tür bir siyasal söylemi ve olumsuz öteki algısını güçlendirmektedir. </w:t>
      </w:r>
    </w:p>
    <w:p w14:paraId="7034A250" w14:textId="73CC2BCB" w:rsidR="002858AE" w:rsidRPr="00E97E0B" w:rsidRDefault="002858AE" w:rsidP="0019121A">
      <w:pPr>
        <w:pStyle w:val="Heading2"/>
      </w:pPr>
      <w:bookmarkStart w:id="165" w:name="_Toc141133106"/>
      <w:r w:rsidRPr="00E97E0B">
        <w:t>4.</w:t>
      </w:r>
      <w:r w:rsidR="008F6C47" w:rsidRPr="00E97E0B">
        <w:t>3</w:t>
      </w:r>
      <w:r w:rsidRPr="00E97E0B">
        <w:t xml:space="preserve">. </w:t>
      </w:r>
      <w:r w:rsidR="00A663CD" w:rsidRPr="00E97E0B">
        <w:t>Öteki Olarak</w:t>
      </w:r>
      <w:r w:rsidRPr="00E97E0B">
        <w:t xml:space="preserve"> İç Siyasette Rakip İdeolojideki Partiler</w:t>
      </w:r>
      <w:bookmarkEnd w:id="165"/>
    </w:p>
    <w:p w14:paraId="2E43BBC4"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Fransa’da yürürlükte olan 5. Cumhuriyet Anayasası’nın en güncel versiyonuna göre, cumhurbaşkanlığı ve yasama seçimleri beş yılda bir </w:t>
      </w:r>
      <w:r w:rsidRPr="00E97E0B">
        <w:rPr>
          <w:rFonts w:ascii="Times" w:eastAsia="Times New Roman" w:hAnsi="Times" w:cs="Times New Roman"/>
          <w:sz w:val="24"/>
          <w:szCs w:val="24"/>
        </w:rPr>
        <w:lastRenderedPageBreak/>
        <w:t>yenilenmektedir.</w:t>
      </w:r>
      <w:r w:rsidRPr="00E97E0B">
        <w:rPr>
          <w:rFonts w:ascii="Times" w:eastAsia="Times New Roman" w:hAnsi="Times" w:cs="Times New Roman"/>
          <w:sz w:val="24"/>
          <w:szCs w:val="24"/>
          <w:vertAlign w:val="superscript"/>
        </w:rPr>
        <w:footnoteReference w:id="308"/>
      </w:r>
      <w:r w:rsidRPr="00E97E0B">
        <w:rPr>
          <w:rFonts w:ascii="Times" w:eastAsia="Times New Roman" w:hAnsi="Times" w:cs="Times New Roman"/>
          <w:sz w:val="24"/>
          <w:szCs w:val="24"/>
        </w:rPr>
        <w:t xml:space="preserve"> Pek çok partinin çeşitli ittifaklar yapmaya sıklıkla yöneldiği iki turlu bir seçim sistemine sahip olan Fransa’da, 2000 yılında yapılan ve yasama seçimlerinin başkanlık seçimlerinin hemen ardından yapılmasını sağlayan düzenlemelerin sonrasında, siyasi istikrar açısından sorun yaratan </w:t>
      </w:r>
      <w:r w:rsidRPr="00E97E0B">
        <w:rPr>
          <w:rFonts w:ascii="Times" w:eastAsia="Times New Roman" w:hAnsi="Times" w:cs="Times New Roman"/>
          <w:i/>
          <w:iCs/>
          <w:sz w:val="24"/>
          <w:szCs w:val="24"/>
        </w:rPr>
        <w:t>cohabitation</w:t>
      </w:r>
      <w:r w:rsidRPr="00E97E0B">
        <w:rPr>
          <w:rFonts w:ascii="Times" w:eastAsia="Times New Roman" w:hAnsi="Times" w:cs="Times New Roman"/>
          <w:sz w:val="24"/>
          <w:szCs w:val="24"/>
        </w:rPr>
        <w:t xml:space="preserve"> ihtimali azaltılmıştır.</w:t>
      </w:r>
      <w:r w:rsidRPr="00E97E0B">
        <w:rPr>
          <w:rFonts w:ascii="Times" w:eastAsia="Times New Roman" w:hAnsi="Times" w:cs="Times New Roman"/>
          <w:sz w:val="24"/>
          <w:szCs w:val="24"/>
          <w:vertAlign w:val="superscript"/>
        </w:rPr>
        <w:footnoteReference w:id="309"/>
      </w:r>
      <w:r w:rsidRPr="00E97E0B">
        <w:rPr>
          <w:rFonts w:ascii="Times" w:eastAsia="Times New Roman" w:hAnsi="Times" w:cs="Times New Roman"/>
          <w:sz w:val="24"/>
          <w:szCs w:val="24"/>
        </w:rPr>
        <w:t xml:space="preserve"> Fransa’da partilerin ekonomik perspektifleri, sağ ve sol olmalarını belirleyen bir diğer önemli unsurdur. Söylemde etnik ve dini aidiyetlerin öteki konumlandırmasının incelediği çalışmanın bu bölümünde, ekonomik yaklaşımlarına göre merkez sağda konumlanan Sarkozy’nin söyleminde ekonomik perspektifine göre öne çıkan </w:t>
      </w:r>
      <w:r w:rsidRPr="00E97E0B">
        <w:rPr>
          <w:rFonts w:ascii="Times" w:eastAsia="Times New Roman" w:hAnsi="Times" w:cs="Times New Roman"/>
          <w:i/>
          <w:iCs/>
          <w:sz w:val="24"/>
          <w:szCs w:val="24"/>
        </w:rPr>
        <w:t>ötekiler</w:t>
      </w:r>
      <w:r w:rsidRPr="00E97E0B">
        <w:rPr>
          <w:rFonts w:ascii="Times" w:eastAsia="Times New Roman" w:hAnsi="Times" w:cs="Times New Roman"/>
          <w:sz w:val="24"/>
          <w:szCs w:val="24"/>
        </w:rPr>
        <w:t>e değinilmiştir. Bunu yaparken, Fransız siyasal hayatındaki parti ve ittifakları Lemennicier ve arkadaşlarının da sınıflandırmasına uygun olarak, aşırı sol, geleneksel sol, merkez, geleneksel sağ, aşırı sağ gibi temel kategoriler ışığında tanımlamak mümkündür.</w:t>
      </w:r>
      <w:r w:rsidRPr="00E97E0B">
        <w:rPr>
          <w:rFonts w:ascii="Times" w:eastAsia="Times New Roman" w:hAnsi="Times" w:cs="Times New Roman"/>
          <w:sz w:val="24"/>
          <w:szCs w:val="24"/>
          <w:vertAlign w:val="superscript"/>
        </w:rPr>
        <w:footnoteReference w:id="310"/>
      </w:r>
      <w:r w:rsidRPr="00E97E0B">
        <w:rPr>
          <w:rFonts w:ascii="Times" w:eastAsia="Times New Roman" w:hAnsi="Times" w:cs="Times New Roman"/>
          <w:sz w:val="24"/>
          <w:szCs w:val="24"/>
        </w:rPr>
        <w:t xml:space="preserve"> Ayrıca, sola dahil olan ve farklı bazı karakteristik özellikler taşıyan yeşillerin çoğunlukla aşırı sol ve sol kategorilere dağıldığı bilgisi de eklenebilir.</w:t>
      </w:r>
      <w:r w:rsidRPr="00E97E0B">
        <w:rPr>
          <w:rFonts w:ascii="Times" w:eastAsia="Times New Roman" w:hAnsi="Times" w:cs="Times New Roman"/>
          <w:sz w:val="24"/>
          <w:szCs w:val="24"/>
          <w:vertAlign w:val="superscript"/>
        </w:rPr>
        <w:footnoteReference w:id="311"/>
      </w:r>
      <w:r w:rsidRPr="00E97E0B">
        <w:rPr>
          <w:rFonts w:ascii="Times" w:eastAsia="Times New Roman" w:hAnsi="Times" w:cs="Times New Roman"/>
          <w:sz w:val="24"/>
          <w:szCs w:val="24"/>
        </w:rPr>
        <w:t xml:space="preserve"> Ancak literatürde bunun dışında ağır basan bir diğer sınıflandırma,merkezin olmadığı dört kutuplu siyasal sistemin Fransa’ya özgü bir durumu olarak karşımıza çıkan üç kutuplu sol, sağ ve aşırı sağdan oluşan bir sistem olduğudur. Bu tanımlamaların ışığında, 70’lere kadar sosyo-ekonomik temelli sağ-sol ayrışmasının yerini, günümüzde kültüre ve değerlere dayalı bir oy verme davranışının aldığı kanısı öne çıkmaktadır.</w:t>
      </w:r>
      <w:r w:rsidRPr="00E97E0B">
        <w:rPr>
          <w:rFonts w:ascii="Times" w:eastAsia="Times New Roman" w:hAnsi="Times" w:cs="Times New Roman"/>
          <w:sz w:val="24"/>
          <w:szCs w:val="24"/>
          <w:vertAlign w:val="superscript"/>
        </w:rPr>
        <w:footnoteReference w:id="312"/>
      </w:r>
      <w:r w:rsidRPr="00E97E0B">
        <w:rPr>
          <w:rFonts w:ascii="Times" w:eastAsia="Times New Roman" w:hAnsi="Times" w:cs="Times New Roman"/>
          <w:sz w:val="24"/>
          <w:szCs w:val="24"/>
        </w:rPr>
        <w:t xml:space="preserve"> Buna mukabil, hâlâ ekonomik perspektifin partiler arası ayrışmanın ana hatlarını oluşturduğu söylenebilir. Farklı temel eğilimlerin ve rakiplerin söylemdeki öteki konumunu anlamak, özellikle ülkedeki iç siyasal dinamikleri, siyasi kültürü ve ayrışmaları kavramak açısından yararlı olacaktır.</w:t>
      </w:r>
    </w:p>
    <w:p w14:paraId="77872CD6" w14:textId="77777777" w:rsidR="002858AE" w:rsidRPr="00E97E0B" w:rsidRDefault="002858AE" w:rsidP="002858AE">
      <w:pPr>
        <w:spacing w:before="120" w:after="120" w:line="360" w:lineRule="auto"/>
        <w:ind w:firstLine="720"/>
        <w:jc w:val="both"/>
        <w:rPr>
          <w:rFonts w:ascii="Times" w:eastAsia="Times New Roman" w:hAnsi="Times" w:cs="Times New Roman"/>
          <w:sz w:val="24"/>
          <w:szCs w:val="24"/>
        </w:rPr>
      </w:pPr>
      <w:r w:rsidRPr="00E97E0B">
        <w:rPr>
          <w:rFonts w:ascii="Times" w:eastAsia="Times New Roman" w:hAnsi="Times" w:cs="Times New Roman"/>
          <w:sz w:val="24"/>
          <w:szCs w:val="24"/>
        </w:rPr>
        <w:t xml:space="preserve">Sarkozy’nin refah ve ekonomik gelişmeler hakkındaki söylemsel perspektifini anlamak için sıklıkla başvurduğu bazı kavramları bilmek faydalı </w:t>
      </w:r>
      <w:r w:rsidRPr="00E97E0B">
        <w:rPr>
          <w:rFonts w:ascii="Times" w:eastAsia="Times New Roman" w:hAnsi="Times" w:cs="Times New Roman"/>
          <w:sz w:val="24"/>
          <w:szCs w:val="24"/>
        </w:rPr>
        <w:lastRenderedPageBreak/>
        <w:t xml:space="preserve">olacaktır. Çalışma, iş ve emek anlamlarına karşılık gelen ve iş olarak çevirebileceğimiz kavrama, konuşmalarında sıklıkla başvurmaktadır. Sarkozy’nin söylemlerinde iş kavramı, görev süresi boyunca önemli bir yer tutmuş, göçmen meselesinden siyasi tercihlere ve hatta kişisel hayatından verdiği örneklere kadar pek çok konunun içine bu kavramı dâhil etmiştir. Sarkozy, söylemlerinde yaptığı ekonomik tahlillerin merkezine de bu kavramı oturtmuş görünmektedir. Ekonomik perspektifi ve siyasi projesi gereği Sarkozy, şirketlerin çalışanlarının çalışma saatlerini artırmalarına izin verilerek toplumsal üretim kapasitesini artırmak gerektiğini savunurken, yüksek vergilendirmelerin de diğerlerinden daha çok çalışan işçileri ve daha çok çalıştıkları için kazandıklarını varsaydığı yüksek gelir grubunun “cezalandırılmasına” neden olduğunu kabul etmekte ve bunun değişmesi gerektiğini ifade etmektedir. 35 saatin tavan çalışma süresi olduğu yasaya karşı olan cumhurbaşkanı, yaşlanan nüfusun sosyal sigorta sisteminin yükünü artırmasından, bu sorunun işsizliği önleyecek yapısal tedbirler alarak çözülmesi gerektiğini sıklıkla dile getirmektedir. Ayrıca, söylemlerinde, Avrupa’yı 2008 krizi sonrası karşılaştığı göç ve Birlik içi ekonomik krizlere karşı güçlendirme hedefi taşımaktadır. Bununla birlikte, miras vergisinden banliyölerdeki ekonomik gerilik ve güvenliğe kadar pek çok konuyu iş gücünü en verimli kullanmaya yönelik politikalar bütünü olarak söyleminde kurgulamaktadır. Ayrıca, devletin yer yer müdahalesine sıcak bakan daha planlamacı, diğer taraftan da özel sektörün öncülük ettiği ve işgücünün daha verimli kılınması mümkün olan reformlara inanmaktadır. Sarkozy, Hollande gibi rakipleri ve ülkesindeki diğer sol siyasetçilere kıyasla, çalışmanın eşitliği bozan bir değer olduğunu ileri süren ve dolayısıyla eşitliğin yerine serbest piyasa, özgürlük ve liyakat kavramlarına daha sık başvuran bir liderdir. Sarkozy’nin söylemindeki bir diğer önemli özellik ise ötekinden bahsettiği sırada kendisini sıklıkla “dürüst,” “açık ve doğrudan konuşan,” “gerçekçi,” “doğruları söylemekten korkmayan,” “tabulara karşı,” “cesur,” “kararlı,” “rasyonel,” “empatik,” ve “risk ve insiyatif alan” bir pozisyonda konumlandırmasıdır. Bu aynı zamanda onun perspektifi ile, özellikle bunu yapmadığı için, kendisini, kendisinden ayrışan bir sol siyasetle mukayese edilebilir bir konuma getirmektedir. Diğer taraftan kendisini ayrıştırdığı aşırı sağ hakkında da yapamayacakları şeyleri söyleyerek, halkı aldatan veya önerdiği çözümler faydadan çok zarar getirecek aşırılıklar ihtiva eden bir siyaset olarak bahsetmektedir. Dahası, Sarkozy’nin, aşırı sağ seçmenine öfkeli ama acı </w:t>
      </w:r>
      <w:r w:rsidRPr="00E97E0B">
        <w:rPr>
          <w:rFonts w:ascii="Times" w:eastAsia="Times New Roman" w:hAnsi="Times" w:cs="Times New Roman"/>
          <w:sz w:val="24"/>
          <w:szCs w:val="24"/>
        </w:rPr>
        <w:lastRenderedPageBreak/>
        <w:t xml:space="preserve">çekmiş olan “biz”e dahil bir grup olarak yaklaşarak, onu daha sakin ve makul olmaya çağırmaktadır. Bunu yaparak, sol siyasete yaptığına nispetle aşırı sağ siyasetçilerine karşı daha temkinli ve daha az ötekileştirici bir dil kullandığı anlaşılmaktadır. Sarkozy’nin aile, miras, manevi değerler, dil ve ulusal değerlere konuşmalarında sıklıkla vurgu yaptığını görülmektedir. Bu değerleri “gerçekçilik” imajıyla birleştirerek ulusalcı bir perspektifle söyleminde buluşturmaktadır. Ek olarak, konuşma tarzı, kişisel deneyimlere yer vermesi, duygulara hitap etmeyi, duygusal bir varlık olduğunu hatırlatmayı tercih etmesi de göze çarpmaktadır. </w:t>
      </w:r>
    </w:p>
    <w:p w14:paraId="17CFF765" w14:textId="77777777" w:rsidR="002858AE" w:rsidRPr="00E97E0B" w:rsidRDefault="002858AE" w:rsidP="002858AE">
      <w:pPr>
        <w:spacing w:before="120" w:after="120" w:line="240" w:lineRule="auto"/>
        <w:jc w:val="both"/>
        <w:rPr>
          <w:rFonts w:ascii="Times" w:eastAsia="Times New Roman" w:hAnsi="Times" w:cs="Times New Roman"/>
          <w:sz w:val="24"/>
          <w:szCs w:val="24"/>
        </w:rPr>
      </w:pPr>
      <w:r w:rsidRPr="00E97E0B">
        <w:rPr>
          <w:rFonts w:ascii="Times" w:eastAsia="Times New Roman" w:hAnsi="Times" w:cs="Times New Roman"/>
          <w:sz w:val="24"/>
          <w:szCs w:val="24"/>
        </w:rPr>
        <w:t>“</w:t>
      </w:r>
      <w:r w:rsidRPr="00E97E0B">
        <w:rPr>
          <w:rFonts w:ascii="Times" w:eastAsia="Calibri" w:hAnsi="Times" w:cs="Times New Roman"/>
          <w:sz w:val="24"/>
          <w:szCs w:val="24"/>
        </w:rPr>
        <w:t>…Cumhuriyet eşitçilik değildir, eşitlemek değildir; hakların ve şansların eşitliğini sağlamak suretiyle özgürlük demektir. (Kural İfadesi) Liyakat, çalışma ve yetenekle özgürlük demektir.</w:t>
      </w:r>
      <w:r w:rsidRPr="00E97E0B">
        <w:rPr>
          <w:rFonts w:ascii="Times" w:eastAsia="Times New Roman" w:hAnsi="Times" w:cs="Times New Roman"/>
          <w:sz w:val="24"/>
          <w:szCs w:val="24"/>
        </w:rPr>
        <w:t xml:space="preserve"> </w:t>
      </w:r>
      <w:r w:rsidRPr="00E97E0B">
        <w:rPr>
          <w:rFonts w:ascii="Times" w:eastAsia="Calibri" w:hAnsi="Times" w:cs="Times New Roman"/>
          <w:sz w:val="24"/>
          <w:szCs w:val="24"/>
        </w:rPr>
        <w:t xml:space="preserve">Ayrıca eşitlik grupların, cemaatlerin (communautés), azınlıkların diğerlerinden farklı haklarının olmasının reddidir…” </w:t>
      </w:r>
      <w:r w:rsidRPr="00E97E0B">
        <w:rPr>
          <w:rFonts w:ascii="Times" w:eastAsia="Times New Roman" w:hAnsi="Times" w:cs="Times New Roman"/>
          <w:sz w:val="24"/>
          <w:szCs w:val="24"/>
          <w:vertAlign w:val="superscript"/>
        </w:rPr>
        <w:footnoteReference w:id="313"/>
      </w:r>
      <w:r w:rsidRPr="00E97E0B">
        <w:rPr>
          <w:rFonts w:ascii="Times" w:eastAsia="Calibri" w:hAnsi="Times" w:cs="Times New Roman"/>
          <w:sz w:val="24"/>
          <w:szCs w:val="24"/>
        </w:rPr>
        <w:t xml:space="preserve"> </w:t>
      </w:r>
    </w:p>
    <w:p w14:paraId="205295A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 ifade açık bir şekilde konuşmacının kural ifadesine başvurarak eşitlikle ilgili bakışı hakkında fikir vermektedir. Cumhuriyet, Fransa’nın devlet isminde geçecek kadar sistemle özdeşleşmiş bir kavram olduğundan, Fransız siyasi hayatında sıklıkla tek başına ülkeyi ve devleti kastetmek üzere kullanılan bir kelimedir. Cumhuriyeti tanımlarken Sarkozy, siyasi ve ekonomik perspektifine ışık tutacak bir şekilde liberal siyasi söylemi sol siyasi söylemden ayıracak şekilde eşitlik ve özgürlük tartışmasında eşitliğe daha mesafeli bir duruş sergilemektedir. Yukarıdaki konuşma kesitinde, Sarkozy referans olarak işaret ettiği cumhuriyet kavramı ile, eşitlik veya eşitlemek ile eşleştirmeyi art arda ve baştan reddetmektedir. Bunun yerine, eşitlik kelimesini ancak bir başka kelimeyle birlikte kullanmayı kabul etmiştir; Sarkozy’e göre “şansların eşitliği” de ancak özgürlüğe giden bir araçtır. Bu dikotomide eşitliğin kendisi değil, şansların eşitliği özgürlüğe giden yolda bir enstrüman olma niteliğindedir. Diğer taraftan, konuşmada, özgürlüğün içeriği genişletilerek eşitlikle neredeyse karşıtlık oluşturacak şekilde liyakat, çalışma ve yetenek kavramları sıralanmıştır. İfade, eşitliği dolaylı olarak reddederken, ardından gelen ifade kendi kavramlarıyla tanımladığı ve kabul ettiği eşitliği onayladığına ilişkin bir ima ilekendini göstermektedir. Kabul edilen eşitlik, özellikle etnik toplulukların diğer gruplardan farklı haklarının olmasının </w:t>
      </w:r>
      <w:r w:rsidRPr="00E97E0B">
        <w:rPr>
          <w:rFonts w:ascii="Times" w:eastAsia="Calibri" w:hAnsi="Times" w:cs="Times New Roman"/>
          <w:sz w:val="24"/>
          <w:szCs w:val="24"/>
        </w:rPr>
        <w:lastRenderedPageBreak/>
        <w:t xml:space="preserve">reddetmesidir. Bu doğrultuda, eşitlik yalnızca farklı hakları talep etmemek olduğunda doğrudan kabul edilebilir bir nitelikte görülmüştür. Bu, çerçevesi oldukça sınırlandırılmış bir tanımı kabul ettiği anlamına geldiği gibi bütün bir eşitlik anlayışının aslında kültürel, etnik ve inançsal farklardan doğan eşitsizlikleri ortadan kaldırmaya yönelik hak taleplerini engellemenin bir aracı olmanın ötesine geçemediği izlenimini vermektedir. </w:t>
      </w:r>
    </w:p>
    <w:p w14:paraId="1B446889" w14:textId="762E59F7" w:rsidR="002858AE" w:rsidRPr="00E97E0B" w:rsidRDefault="002858AE" w:rsidP="002B7FA9">
      <w:pPr>
        <w:pStyle w:val="Heading3"/>
      </w:pPr>
      <w:bookmarkStart w:id="171" w:name="_Toc141133107"/>
      <w:r w:rsidRPr="00E97E0B">
        <w:t>4.</w:t>
      </w:r>
      <w:r w:rsidR="008F6C47" w:rsidRPr="00E97E0B">
        <w:t>3</w:t>
      </w:r>
      <w:r w:rsidRPr="00E97E0B">
        <w:t>.1. Sosyalist Parti (PS)</w:t>
      </w:r>
      <w:bookmarkEnd w:id="171"/>
    </w:p>
    <w:p w14:paraId="2A6B181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Fransa’da sol 1988’den beri 2012 seçimlerine kadar herhangi bir başkanlık seçimini kazanamamıştı. Sosyalist Parti ilk genel sekreteri François Mitterand, devrimci solu kendine dâhil edip zaman içinde onları etkisiz kılmış ve sol siyasette gücünü kesinleştirmiş, 35 saat çalışma yasası, idam cezasının kaldırılması ve devletleştirmeler gibi, dönemi için oldukça önemli reformlar yapmıştır. Ayrıca siyasi liberalizmi ve 5. Cumhuriyet’in kurumlarını radikal sola kabul ettirmiş ve sosyal piyasa ekonomisi ve liberal demokrasi ilkeleri çerçevesinde hareket etmesini sağlamıştır…”</w:t>
      </w:r>
      <w:r w:rsidRPr="00E97E0B">
        <w:rPr>
          <w:rFonts w:ascii="Times" w:eastAsia="Calibri" w:hAnsi="Times" w:cs="Times New Roman"/>
          <w:sz w:val="24"/>
          <w:szCs w:val="24"/>
          <w:vertAlign w:val="superscript"/>
        </w:rPr>
        <w:footnoteReference w:id="314"/>
      </w:r>
      <w:r w:rsidRPr="00E97E0B">
        <w:rPr>
          <w:rFonts w:ascii="Times" w:eastAsia="Calibri" w:hAnsi="Times" w:cs="Times New Roman"/>
          <w:sz w:val="24"/>
          <w:szCs w:val="24"/>
        </w:rPr>
        <w:t xml:space="preserve"> Ancak, piyasa ekonomisi uygulamasının sosyalist söylemle uyumsuz olması, Sosyalist Parti ve ittifaklarının iktidara gelmesini, iktidara geldiği durumlarda da istediği sonuçları almakta güçlük çekmesini açıklamaktadır.</w:t>
      </w:r>
      <w:r w:rsidRPr="00E97E0B">
        <w:rPr>
          <w:rFonts w:ascii="Times" w:eastAsia="Calibri" w:hAnsi="Times" w:cs="Times New Roman"/>
          <w:sz w:val="24"/>
          <w:szCs w:val="24"/>
          <w:vertAlign w:val="superscript"/>
        </w:rPr>
        <w:footnoteReference w:id="315"/>
      </w:r>
      <w:r w:rsidRPr="00E97E0B">
        <w:rPr>
          <w:rFonts w:ascii="Times" w:eastAsia="Calibri" w:hAnsi="Times" w:cs="Times New Roman"/>
          <w:sz w:val="24"/>
          <w:szCs w:val="24"/>
        </w:rPr>
        <w:t xml:space="preserve"> Sosyalist Parti, Fransız siyasal hayatında merkez solu en büyük ölçekte temsil eden partidir. François Hollande’ın parti içi ön seçimlerle 2012 seçimlerinde cumhurbaşkanı adayı olduğu parti seçimi kazanmıştır. Aynı partinin cumhurbaşkanı adayı Ségolène Royal, 2008’de Sarkozy ile ikinci turda karşı karşıya gelmiş ve seçimin galibi Nicolas Sarkozy olmuştur. Sarkozy’nin sol-sağ eksenli çatışmalarını en fazla Sosyalist Parti ve liderini muhatap alarak yapması da aynı zamanda karşısındaki en güçlü ve seçim kazanma ihtimali en fazla olan rakibin bu partinin liderleri olmuş olmasıdır. </w:t>
      </w:r>
    </w:p>
    <w:p w14:paraId="6987759B"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xml:space="preserve">“…rakiplerimin bazılarına şunu açıklamak isterim: Cumhuriyette kabilelerin ve sınıfların mücadelesine yer yoktur. Sınıf mücadelesi cumhuriyet değildir. (Kural cümlesi) Değerli vatandaşlarım, buna aldanmayın! (Ötekileştirme, Ötekini Kötü Gösterme) Zenginlere ödetmek istiyorum dendiğinde ödetilmek istenen herkestir. (Kural Cümlesi) Zenginlere ödetmek üzere %75 vergi oranı önerisi getirip ertesi </w:t>
      </w:r>
      <w:r w:rsidRPr="00E97E0B">
        <w:rPr>
          <w:rFonts w:ascii="Times" w:eastAsia="Calibri" w:hAnsi="Times" w:cs="Times New Roman"/>
          <w:sz w:val="24"/>
          <w:szCs w:val="24"/>
        </w:rPr>
        <w:lastRenderedPageBreak/>
        <w:t xml:space="preserve">gün -aynen aktarıyorum- “Bunun devlet bütçesine tek bir euro kazandırma amacı yoktur” diye açıklama yapmak, -söylüyorum- alay etmektir. (Durum Tanımlama, Ötekileştirme) Söylüyorum, bu sahtekarlıktır ve bunu söyleyenler sahtekardırlar. (Olumsuz Ötekini Sunma) Fransa Cumhuriyeti’nde alaycılığa yer yoktur, çünkü alaycılık küçümsemedir, Fransızları küçümsemektir. (Dramatikleştirme, Kutuplaştırma) Fransızları yönetmeyi arzularken onlarla alay edilmez (Örtmece) ama bu demagojik talep ve protestodaki vergi çılgınlığı zengin olmayanlara pahalıya mâl olacak. Cumhuriyet ahlakı, kendi yanaşmacılarının harcamalarını kısarak canlarını sıkma cesareti olmadığı için vergi üzerinden orta sınıfları ezmek değildir. Sendika destekçilerinin canı sıkılmamalıdır. (Örtmece) Siz, orta sınıflar ödeyeceksiniz. Sendika yanaşmacılarının canı sıkılmamalıdır. Rakiplerimden birinin bunu teklif etme cesaretini göstermeyi reddetmesini siz ödeyeceksiniz. (Kurbanlaştırma, Kutuplaştırma) Cumhuriyette yanaşmacılığa yer yoktur. Cumhuriyette grev yapma, protesto etme hakkı vardır ama başkalarının işe gitmesini engelleme hakkı yoktur, başkalarını rehin alma hakkı yoktur, kırma, sabote etme ve engelleme hakkı yoktur. (Kural ifadesi, Kutuplaştırma, Karşı Gerçeklik) Kamu hizmetini sabote etmek, örnek olacak cezaları hak eden bir olaydır. (Karşı Gerçeklik, Kural ifadesi) Cumhuriyette, okullarda ve hava ulaşımında, toplu taşımada asgari hizmet, son derece cumhuriyetçi bir ilkedir. Cumhuriyetçi olduğunuzda her şeyi engelleyenleri savunmazsınız. (İma) Cumhuriyetçi olduğunuzda yararlanıcıları rehin alanları savunmazsınız. (Karşı gerçeklik) Cumhurbaşkanı yanaşmacılara hizmet etmez, cumhurbaşkanı zümrelere hizmet etmez, cumhurbaşkanı kastlara hizmet etmez. Cumhurbaşkanı genel çıkarlara ve kim olursa olsun vatandaşlara hizmet eder. Cumhurbaşkanı bir partinin hizmetinde değildir, cumhurbaşkanı sağın hizmetinde değildir, cumhurbaşkanı solun hizmetinde değildir, kim olursa olsun tüm Fransızların hizmetindedir. (Kural İfadesi) Dahası cumhurbaşkanı yalnızca dostlarıyla yönetmez, cumhurbaşkanı yanlızca kendisiyle hep aynı fikirde olanları atamaz. Bilakis hiç dostu olmamış olanlara, kendisiyle hep aynı fikirde olmayanlara bilgece sorumluluk vermelidir, çünkü cumhuriyet ortak varlıktır ve Fransa gibi coşkun bir ülkenin hoşgörüye, açılıma, birlik ruhuna ihtiyacı vardır, cumhuriyet budur. (Kural İfadesi) Cumhurbaşkanı kendi partisinden olmayan herkesi idareden çıkarmaz. (Kural İfadesi) Haberini aldık! Haberini aldık! Şimdi de hafiften bir duman kokusu alıyoruz. Bizi uyarıyorlar! Cumhuriyetin hükümetiyle birtakım işbirlikleri olan tüm polis, hakim, savcı, memur ve valiler işten çıkarılacakmış. İşte cumhurbaşkanının hizipçi olmama görevi vardır, o tüm bunların üstünde olmalıdır. Dostlarına şunu söyleme bilgeliğine sahip olmalıdır: “Kazandık, paylaşmalıyız ve birleştirmeliyiz. Dostlarına şunu söyleme bilgeliğine de sahip olmalıdır: “Çoğunluk bizde, başkalarına saygı duymalıyız.” Hatta cumhurbaşkanı şunu söyleme bilgeliğine sahip olmalıdır: “Cumhuriyetin tecessümü olunduğu için diğerlerinden daha çok eleştirilmek normaldir.” (Kural İfadesi) Cumhurbaşkanı bilge olmalıdır ve görüyorum ki rakiplerine alçakça saldırdıktan sonra falanca medya kuruluşları, falanca gazateciler doğru yolda olmamakla itham ediliyor. (Ötekini kötü gösterme) Benimle başlıyor başkalarıyla bitiriyor. Devamı gelecek ve tek bir sonucu olacak o çok inandığım sessiz çoğunluğu harekete geçmesini sağlayacak. Değerli dostlarım </w:t>
      </w:r>
      <w:r w:rsidRPr="00E97E0B">
        <w:rPr>
          <w:rFonts w:ascii="Times" w:eastAsia="Calibri" w:hAnsi="Times" w:cs="Times New Roman"/>
          <w:sz w:val="24"/>
          <w:szCs w:val="24"/>
        </w:rPr>
        <w:lastRenderedPageBreak/>
        <w:t xml:space="preserve">sözü size bırakıyorum. Cumhuriyeti yaşatmak için sözü size bırakmak istiyorum (İma)…” </w:t>
      </w:r>
      <w:r w:rsidRPr="00E97E0B">
        <w:rPr>
          <w:rFonts w:ascii="Times" w:eastAsia="Calibri" w:hAnsi="Times" w:cs="Times New Roman"/>
          <w:sz w:val="24"/>
          <w:szCs w:val="24"/>
          <w:vertAlign w:val="superscript"/>
        </w:rPr>
        <w:footnoteReference w:id="316"/>
      </w:r>
      <w:r w:rsidRPr="00E97E0B">
        <w:rPr>
          <w:rFonts w:ascii="Times" w:eastAsia="Calibri" w:hAnsi="Times" w:cs="Times New Roman"/>
          <w:sz w:val="24"/>
          <w:szCs w:val="24"/>
        </w:rPr>
        <w:t xml:space="preserve"> </w:t>
      </w:r>
    </w:p>
    <w:p w14:paraId="0CB799F2"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Burada konuşmacı isim vermeden Sosyalist Parti ve daha sol eğilimli partileri ve siyasetçileri kastetmektedir. Bir önceki konuşma kesitindeki siyasi ekonomik perspektif ayrımını açıklar şekilde, cumhuriyette kabile ve sınıflara yer </w:t>
      </w:r>
      <w:r w:rsidRPr="00E97E0B">
        <w:rPr>
          <w:rFonts w:ascii="Times" w:eastAsia="Calibri" w:hAnsi="Times" w:cs="Times New Roman"/>
          <w:sz w:val="24"/>
          <w:szCs w:val="24"/>
        </w:rPr>
        <w:lastRenderedPageBreak/>
        <w:t xml:space="preserve">olmadığını söyleyerek, öncelikle göçmenlere ve etnik cemaatlere bir gönderme yaparken, hemen ardından yarıştığı rakiplerine doğrudan mesaj vererek sınıflara yer olmadığını söylemiştir. Sınıf olarak kastettiği, sosyalist terminolojiye de bir gönderme yapan ve ekonomik çıkarları bir diğer sınıfla çatışan bir gruptur. Sarkozy, liberal ve sağ yaklaşımı gereği bu ayrım üzerinden bir okuma yapmamayı özellikle tercih etmektedir ve buna uygun olarak baştan bu şekilde negatif bir tanımlama yapmaktadır. İlk başta siyasi rakipleri kastedip “değerli vatandaşlarım” seslenmesiyle </w:t>
      </w:r>
      <w:r w:rsidRPr="00E97E0B">
        <w:rPr>
          <w:rFonts w:ascii="Times" w:eastAsia="Calibri" w:hAnsi="Times" w:cs="Times New Roman"/>
          <w:i/>
          <w:iCs/>
          <w:sz w:val="24"/>
          <w:szCs w:val="24"/>
        </w:rPr>
        <w:t>öteki</w:t>
      </w:r>
      <w:r w:rsidRPr="00E97E0B">
        <w:rPr>
          <w:rFonts w:ascii="Times" w:eastAsia="Calibri" w:hAnsi="Times" w:cs="Times New Roman"/>
          <w:sz w:val="24"/>
          <w:szCs w:val="24"/>
        </w:rPr>
        <w:t xml:space="preserve">nden </w:t>
      </w:r>
      <w:r w:rsidRPr="00E97E0B">
        <w:rPr>
          <w:rFonts w:ascii="Times" w:eastAsia="Calibri" w:hAnsi="Times" w:cs="Times New Roman"/>
          <w:i/>
          <w:iCs/>
          <w:sz w:val="24"/>
          <w:szCs w:val="24"/>
        </w:rPr>
        <w:t>biz</w:t>
      </w:r>
      <w:r w:rsidRPr="00E97E0B">
        <w:rPr>
          <w:rFonts w:ascii="Times" w:eastAsia="Calibri" w:hAnsi="Times" w:cs="Times New Roman"/>
          <w:sz w:val="24"/>
          <w:szCs w:val="24"/>
        </w:rPr>
        <w:t xml:space="preserve">e süratli bir geçiş yapılmakta ve aldanmamaya çağırarak aldatıldıkları imasını güçlü bir şekilde vererek, biz-öteki ayrımında bizi aldatmaya çalışan bir ötekini işaret etmektedir. Sınıf olgusunun ve dolayısıyla sınıflar arası çatışmanın milliyetçilik ve vatandaşlığın öne çıkarılarak yok sayılmaya çalışıldığı bu söylemde, eşitliğin, etnik, kültürel farklılıklardan doğan talepleri önleme aracı olmasıyla yetinilmiştir. Kandırılmaya çalışılan </w:t>
      </w:r>
      <w:r w:rsidRPr="00E97E0B">
        <w:rPr>
          <w:rFonts w:ascii="Times" w:eastAsia="Calibri" w:hAnsi="Times" w:cs="Times New Roman"/>
          <w:i/>
          <w:iCs/>
          <w:sz w:val="24"/>
          <w:szCs w:val="24"/>
        </w:rPr>
        <w:t>biz</w:t>
      </w:r>
      <w:r w:rsidRPr="00E97E0B">
        <w:rPr>
          <w:rFonts w:ascii="Times" w:eastAsia="Calibri" w:hAnsi="Times" w:cs="Times New Roman"/>
          <w:sz w:val="24"/>
          <w:szCs w:val="24"/>
        </w:rPr>
        <w:t xml:space="preserve">in uyarılması, varlıklı kesimlerin vergi yükünün artırılmasına engel olunması içindir. Burada sınıf çatışmasını reddeden ifadeye paralel olarak, zenginlerle orta sınıfın ve yoksul kesimlerin çıkarlarının birbiriyle çelişmediği, aksine çıkarlarının doğru orantılı bir şekilde etkilendiği varsayılmaktadır. Elbetteki söylemsel düzeyde böyle bir ayrıma gitmeden hatta bu ayrımı baştan reddederek bunu ifade etmeye gayret edilmiştir. </w:t>
      </w:r>
    </w:p>
    <w:p w14:paraId="7A999C32"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Hollande’ın yüksek gelirli kimselerin daha fazla vergilendirilmesi önerisinin amacını açıklarken, niyetin devlet bütçesine katkı yapmak değil, uygunsuz ve haksız bir şekilde yüksek gelir elde edenlerin emeğe, gayrete, yeteneğe ve liyakate uymayan yüksek gelir dağılımını bozmasını engellemek istediğini belirmiştir.</w:t>
      </w:r>
      <w:r w:rsidRPr="00E97E0B">
        <w:rPr>
          <w:rFonts w:ascii="Times" w:eastAsia="Calibri" w:hAnsi="Times" w:cs="Times New Roman"/>
          <w:sz w:val="24"/>
          <w:szCs w:val="24"/>
          <w:vertAlign w:val="superscript"/>
        </w:rPr>
        <w:footnoteReference w:id="317"/>
      </w:r>
      <w:r w:rsidRPr="00E97E0B">
        <w:rPr>
          <w:rFonts w:ascii="Times" w:eastAsia="Calibri" w:hAnsi="Times" w:cs="Times New Roman"/>
          <w:sz w:val="24"/>
          <w:szCs w:val="24"/>
        </w:rPr>
        <w:t xml:space="preserve"> Burada kullandığı ifadeden bir kesit alarak alıntılayan konuşmacı, bunu alaycılık ve sahtekarlık olarak nitelendirmek üzere kullanmıştır. Dahası cümlede sahtekârlık ve sahtekâr ifadelerini öncelikle kavramsallaştırma yapmak üzere, ardından da konudaki örneğe yüklemek üzere isimleştirerek hem vurgulamış hem de ısrarla tekrar etmiştir. İkinci tura kalması durumunda başkanlık yarışında karşı karşıya gelmesi en muhtemel adayı hedef aldığı bu konuşma kesitinde Sarkozy, rakibini sahtekâr olarak nitelendirmiş, bunu da ekonomik yaklaşımların ayrıştığı bir noktada sol rakibi Sosyalist Parti (PS) adayına yapmayı tercih etmiştir. </w:t>
      </w:r>
      <w:r w:rsidRPr="00E97E0B">
        <w:rPr>
          <w:rFonts w:ascii="Times" w:eastAsia="Calibri" w:hAnsi="Times" w:cs="Times New Roman"/>
          <w:sz w:val="24"/>
          <w:szCs w:val="24"/>
        </w:rPr>
        <w:lastRenderedPageBreak/>
        <w:t xml:space="preserve">Burada ötekini kötü gösterme, durum ve kavram tanımlaması söz konusudur. Devamında alaycılık olarak tanımladığı ifadeyi Fransızların aklını küçümsemek olarak dramatikleştiren konuşmacı, örtmeceye başvurarak rakibinin rakip olma özelliği ile bu durumun uyuşmadığı imasında bulunmuştur. Piyasacı bir yaklaşımı ağır basan Sarkozy, en yakın rakibi olan ve bu konuşmadan birkaç ay sonra seçimde cumhurbaşkanı olacak olan Hollande hakkında, rakip olmasından da kaynaklanan nedenlerle, sert bir tonda konuşmayı tercih etmiştir. </w:t>
      </w:r>
    </w:p>
    <w:p w14:paraId="720A2EB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Ahlak teması üzerinden devam eden konuşmacı, öteki konumlandırmasını yanaşmacılıkla ve ahlaksızlıkla değerlendirerek belirginleştirmiştir. Dahası, kendi söylemlerinde cesaret göstermekle ilgili sıklıkla imada bulunan biri olarak, öteki olan rakibini ahlaki bir değer olarak öne çıkan cesaret yoksunluğu ile tanımlamaktadır. Burada hem yanaşmacılık gibi seçmen düzeyinde aynı zamanda ahlaki bir sorun olarak görülen bir meselede, karşı tarafı kötü gösterme, hem de kendi çıkar gruplarına karşı ahlakın gereğini yerine getirememe korkaklığı ile tanımlama söz konusudur. Doğrudan muhatap olan orta sınıflarırakibinin ezdiği ve vergi yükünü yüklediği mağdur olarak konumlamış, yanaşmacı olarak tanımladığı PS’ye yakın grupların korunmasını ise ironik bir örtmece ile ifade etmiştir. Bu da bir kutuplaştırma ifadesidir. Buna göre, kutuplaştırmaya çalışılan, mağdur olarak tanımlanan orta sınıf ile mağduriyete kasten sebep olmakla dolaylı olarak suçlanan sol siyaset ve bununla doğrudan suçlanan solun temsilcisi olan rakip adaydır.</w:t>
      </w:r>
    </w:p>
    <w:p w14:paraId="0BAEE26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Konuşmada ilk başta, orta sınıf üçüncü kişi olarak dile getirilirken sonrasında bedel ödeyecek olan orta sınıflar ikinci çoğul şahıs (siz) olarak konumlandığı görülmektedir. Zenginlerin daha fazla vergi ödemesinin sonucuna dair uyarıyı kendini ikinci çoğul şahıstan ayırarak yapması, kendisini zengin diye tanımladığı gruba daha yakın görmesinden kaynaklandığı şeklinde yorumlanabilir. Grev ve protesto hakkını karşıt gerçeklik olarak sunduğu görülmektedir, zira grev ve protesto doğaları gereği iş yapmayı durdurma ve sesini duyurmaya yönelik toplu olarak çalışanların hareket etmesiyle ilgili bir eylemdir. Burada sendikaların toplu bir karar alması durumunda çalışanlarını iş durdurmaya yönelteceği sabittir. Böyle bir durumu işe gitmeyi engellemek, çalışmak isteyenleri rehin almak olarak vandalizm seviyesine indiren konuşmacı, bir karşıt gerçeklik oluşturma yoluna gitmektedir. Dahası grev hakkını suç olarak tanımlayarak, seçmen karşısında grev </w:t>
      </w:r>
      <w:r w:rsidRPr="00E97E0B">
        <w:rPr>
          <w:rFonts w:ascii="Times" w:eastAsia="Calibri" w:hAnsi="Times" w:cs="Times New Roman"/>
          <w:sz w:val="24"/>
          <w:szCs w:val="24"/>
        </w:rPr>
        <w:lastRenderedPageBreak/>
        <w:t xml:space="preserve">hakkına başvuran kamu görevlililerini suçlu olarak gösteren bir söylemi, kural ifadesi ve karşı gerçekliğe başvurarak yapmayı tercih etmiştir. Bu grevleri destekleyen PS’yi ima ederek, suçun ve suçlunun rakipleri tarafından savunulduğunu belirtmiştir. Dahası, yararlanıcıların mahrum kaldıkları kamu hizmetini alamamalarını yeniden rehin almak olarak nitelemiştir. Burada karşı gerçekliğe bu denli belirgin bir şekilde başvurulmasının nedeni, sınıfsal perspektifin ve ekonomik mantalitenin karşı tarafınkiyle uyuşmaması ve seçmenin nezdinde bu talepleri gayrı meşru göstermenin fazlaca mantıklı bir argümanını üretememiş olmasından kaynaklanıyor olabilir. Yanaşmacılık suçlaması da bunun bir devamı olarak konuşma içinde yerini bulmaktadır. Yanaşma kavramını zümre ile birlikte kullanan Sarkozy, özellikle açık olarak tanımlamadığı ve muğlak bıraktığı eşitliğin karşıtı olarak bu kavramı kullanmış ve “cumhuriyetçi” bir eşitlik anlayışını savunmuştur. </w:t>
      </w:r>
    </w:p>
    <w:p w14:paraId="4F30144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Çalışmada sağ ve sol çizgilere gönderme yapılıyor olmasını destekleyen unsurlardan bir diğeri ise bu kavramsallaştırmanın var olmasına ek olarak, başta cumhurbaşkanı olmak üzere bizzat diğer siyasi aktörlerin de bu durumu tıpkı bu konuşma kesitinde olduğu gibi, sıkça dile getiriyor olmasıdır. Cumhuriyet rejiminin var olduğu bir devletin başkanının teorik olarak tüm vatandaşlara eşit mesafede olması en azından söylem düzeyinde doğal karşılanacak bir durumdur. Bu aynı zamanda, pek çok siyasi çizgideki partinin kolayca benimseyeceği türde bir söylemdir. Konuşmacı, kural ifadeleriyle başlayarak, sözü karşı tarafın bu kurallara uymadığı fikrine getirmektedir. Öte yandan, konuşmadan anlaşıldığı üzere, toplumsal meşruiyeti sağlama iddiası olan her tür siyasi çizginin ortaklaştığı bir söylem olmakla birlikte, iktidarın böyle bir eşit mesafeyi gerçekten benimsemediği de sabit bir gerçektir. Dahası, olumsuz cümle kurmak suretiyle kural ifadelerini, kurallara zıt davranan bir rakip başkan adayını seçmene işaret etmek için özellikle kullanmaktadır. “Haberini aldık” diyen başkan, ifadeyi üst üste kullanmak ve “bu asla çiğnenemeyecek” ifadesine başvurmak suretiyle, rakibinin kuralı nasıl da yok sayarak ihlal ettiğini kastetmektedir. Ayrıca, haberini aldığını söylediği şey her neyse, bunun somut sonuçlarına girmeden, genel ifadelerle hükümete yakın olan herkesin işten çıkarılacağı iddiasıyla yanlışlanamaz bir iddia ortaya atmıştır. Elbette yanlışlanamazlık detaylı bir inceleme konusu olduğunda kolaylıkla bertaraf </w:t>
      </w:r>
      <w:r w:rsidRPr="00E97E0B">
        <w:rPr>
          <w:rFonts w:ascii="Times" w:eastAsia="Calibri" w:hAnsi="Times" w:cs="Times New Roman"/>
          <w:sz w:val="24"/>
          <w:szCs w:val="24"/>
        </w:rPr>
        <w:lastRenderedPageBreak/>
        <w:t xml:space="preserve">edilebilecekken, kalabalıkların bu iddiayı ispata ihtiyacının olmayacağını görmek mümkündür. </w:t>
      </w:r>
    </w:p>
    <w:p w14:paraId="0286F4F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Kural cümleleri üzerinden yargı bildiren ve sıkça benzerleri duyulan bir ideal cumhurbaşkanı tasvirini yapan Sarkozy, dostların ya da müttefiklerin dışında kimselerin de yönetime katılmasına izin vermesi gereken bir yöneticiyi idealize etmesinin hemen ardından, “kendisine alçakça saldırmakla” rakibini ve Sosyalist Parti’ye yakın gazetecileri suçlamaktadır. Bu hem ahlaki bir tanımlamayı hem de kendisinin tanımladığı bilge özelliklere zıt ve cumhuriyeti ayakta tutmaya kadir veya istekli olmayan bir rakibi ima etmeyi de içermektedir. Cümlenin devamında, cumhuriyeti yaşatmak için sözü “size” yani kendine yakın seçmene bıraktığını söylemektedir. Bu durumda eğer seçilmezse, cumhuriyetin yaşayamayacağı gibi bir çarpıtma denemesini de içerdiği gözlemlenen konuşma, sol partilerin cumhuriyeti koruma ve yaşatma konusunda yetersiz ve isteksiz olduğu bir kötü öteki konumlandırmasını yansıtmaktadır.</w:t>
      </w:r>
    </w:p>
    <w:p w14:paraId="0E703CF0"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“.Sevgili dostlarım, biz onlara benzemeyiz. Biz asla onlara benzemeyeceğiz. Asla hizipçi olmayacağız. Nefreti her zaman reddedeceğiz. Bizden biri asla onların toplantılarını bozmaz, mitinglerini engellemez, partililerine hakaret etmezdi. (Karşı tarafı olumsuz gösterme, Kutuplaştırma, Mesafe Koyma) Biz kendimizi Voltaire’in mirasçıları olarak görüyoruz: “Sizin düşüncelerinizi paylaşmıyoruz ama sizin o düşünceleri ifade edebilmeniz için savaşırız.” (Otorite gösterme) Dolayısıyla ben de -değerli dostlarım- partiler, kabileler, hizipçiler ve kinciler cumhuriyeti istemiyorum. Böyle bir cumhuriyeti biz reddediyoruz…”</w:t>
      </w:r>
      <w:r w:rsidRPr="00E97E0B">
        <w:rPr>
          <w:rFonts w:ascii="Times" w:eastAsia="Calibri" w:hAnsi="Times" w:cs="Times New Roman"/>
          <w:sz w:val="24"/>
          <w:szCs w:val="24"/>
          <w:vertAlign w:val="superscript"/>
        </w:rPr>
        <w:footnoteReference w:id="318"/>
      </w:r>
    </w:p>
    <w:p w14:paraId="02DE862E"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Burada dönemin cumhurbaşkanı, hem önündeki seçimler için kendi kampının saflarını sıkılaştırma hem de mümkün olduğu kadar kararsızları ikna etme amacındadır. Kendi siyasi kampının ötekisini netleştirirken, hangi kavram veya yaklaşımları dışladığını da gösteren bu konuşma kesitlerinde, kamplaşmayı reddederek ve olumsuzlayarak başlamakta, kamplaşma ve kutuplaşmanın sorumluluğunu ötekine atmaktadır. “Biz onlara benzemeyiz” ifadesi oldukça çarpıcı bir biçimde kutuplaştırma anlamı içermektedir. Benzemiyor olmanın açıklaması, cümleyi takip eden diğer cümlelerde oldukça olumsuz ve tartışmaya kapalı ifadelerle pekiştirilmiş, açıklanmış ve karşı tarafla açık bir mesafe koyma yoluna gidilmiştir. Bu aynı zamanda karşı tarafı açık ve fark yaratacak biçimde ayrışmaya ve kutuplaşmaya itecek özellikte bir “demokrasi düşmanlığı” ile </w:t>
      </w:r>
      <w:r w:rsidRPr="00E97E0B">
        <w:rPr>
          <w:rFonts w:ascii="Times" w:eastAsia="Calibri" w:hAnsi="Times" w:cs="Times New Roman"/>
          <w:sz w:val="24"/>
          <w:szCs w:val="24"/>
        </w:rPr>
        <w:lastRenderedPageBreak/>
        <w:t>genelleştirerek kavramsallaştırmaktadır. Bu ifade her ne kadar kullanılmasa da hizipçi, toplantıları engelleyen, kinci, farklı partilere ve görüşlere hakaret eden ve ‘biz cumhuriyetçilere benzemeyen,’ saldırgan ve tahammülsüz bir niteliğe büründürülen öteki imgesi, demokrasiye karşı bir yerde konumlandırılmıştır. Kesitin sonunda ise önce birinci tekil şahısta istemek fiili olumsuz biçimde, ardından da birinci çoğul şahısta reddetmek fiilinin kullanıldığı görülmektedir. Başkanın burada önce kendi tasavvurunun ve arzusunun dile getirmesi, kendisi tarafından yetersiz görülmüş olacak ki, bu reddi taraftarlarına mal etme gereği duymuştur. Burada kutuplaştırıcı ifadelerin tekil şahısla ifadesinin inandırıcılığı zayıflatacağının düşünülmüş olabileceği tahmin edilmektedir.</w:t>
      </w:r>
    </w:p>
    <w:p w14:paraId="2DCE45AA"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“…Dürüst insanların, cumhuriyet değerlerine ve yasalarına saygı duyan dürüst vatandaşların cumhuriyeti için savaşmak istiyorum. Ayrılıkçıların tarafında saf tutanlar, Fransa’dan nefret edenler -aynen düşündüğüm şekliyle söylüyorum- cumhuriyeti sevmiyorlar. Serserilerin tarafında saf tutanlar cumhuriyeti sevmiyorlar. Başkalarının haklarını kendi haklarını savunduğu kuvvetle savunamadığında cumhuriyetin ne olduğunu anlaşılmamış olur. Cumhuriyeti anlamayınca cumhuriyet sevilmez. İşte gerçek budur. (Genelleştirme, Ötekini olumsuz gösterme)”</w:t>
      </w:r>
    </w:p>
    <w:p w14:paraId="5D535204"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xml:space="preserve">“Beni yıldırma umudu besleyenlere serinkanlılıkla ve açık açık Fransızlarla buluşmaya her yere gideceğimi söylemek isterim. Kimse beni bundan çeviremeyecek, kimse beni engelleyemeyecek. Beş yıl boyunca baskılar karşısında hiç geri adım atmadım. (Dramatikleştirme, Kurbanlaştırma) Bunu bugün de yapacak değilim! (Seçim) Kampanya(sı) olsun istemiyorlar, bana güvenin (seçim) kampanya(sı) olacak hem de harika bir kampanya olacak. Tartışma olsun istemiyorlar, bana güvenin onları tartışmaya zorlayacağım. Kimse bu seçimi ve kampanyayı Fransızlardan çalamayacak. (Dramatikleştirme) Tam bir kararlılık göstereceğimden emin olabilirsiniz. Enerjimin tam olacağına güvenebilirsiniz. Gücümü buna yerinde olacağından emin olabilirsiniz…” </w:t>
      </w:r>
      <w:r w:rsidRPr="00E97E0B">
        <w:rPr>
          <w:rFonts w:ascii="Times" w:eastAsia="Calibri" w:hAnsi="Times" w:cs="Times New Roman"/>
          <w:sz w:val="24"/>
          <w:szCs w:val="24"/>
          <w:vertAlign w:val="superscript"/>
        </w:rPr>
        <w:footnoteReference w:id="319"/>
      </w:r>
    </w:p>
    <w:p w14:paraId="607E4A54" w14:textId="4AF542C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Sarkozy cumhuriyetçilik savunusu ile dürüstlüğü, devlet otoritesine itaati, kanunlara riayet etmeyi birleştirmektedir. Bununla zıtlık oluşturanlar kategorisine ise ayrılıkçılar, serseriler ve işe yaramayanlar girmektedir. Sarkozy’nin öteki konumu oluştururken sevmek gibi temel bir ifadeyi yerleştirmesi ise duygular üzerinden konuyu basitleştirmeye çalıştığı anlamına geldiği gibi, detaylandıracağı açıklamaları bu varsayımın üzerine inşa edeceği anlamını da yansıtmaktadır. Ötekisini oluştururken sıkça başvurduğu bir diğer strateji </w:t>
      </w:r>
      <w:r w:rsidRPr="00E97E0B">
        <w:rPr>
          <w:rFonts w:ascii="Times" w:eastAsia="Calibri" w:hAnsi="Times" w:cs="Times New Roman"/>
          <w:i/>
          <w:iCs/>
          <w:sz w:val="24"/>
          <w:szCs w:val="24"/>
        </w:rPr>
        <w:t>biz</w:t>
      </w:r>
      <w:r w:rsidRPr="00E97E0B">
        <w:rPr>
          <w:rFonts w:ascii="Times" w:eastAsia="Calibri" w:hAnsi="Times" w:cs="Times New Roman"/>
          <w:sz w:val="24"/>
          <w:szCs w:val="24"/>
        </w:rPr>
        <w:t xml:space="preserve">in normlarını evrensel normlar olarak tanımlamasıdır. Bunu da mantıksal bir örgü ile kuvvetlendirmeye </w:t>
      </w:r>
      <w:r w:rsidRPr="00E97E0B">
        <w:rPr>
          <w:rFonts w:ascii="Times" w:eastAsia="Calibri" w:hAnsi="Times" w:cs="Times New Roman"/>
          <w:sz w:val="24"/>
          <w:szCs w:val="24"/>
        </w:rPr>
        <w:lastRenderedPageBreak/>
        <w:t xml:space="preserve">çalışmaktadır. Cumhuriyet anlaşılmadan sevilemez önermesini, kimlerin cumhuriyeti anlamadığını sıralayarak onların bu ilk önermeye dayanarak cumhuriyeti sevmediği gibi dolambaçlı bir tanımlama yapmaktadır. Cumhuriyeti sevmiyor olanlar kategorisi de konuşmacıya göre dış grup üyeleridir. Bu dış grubun neler yaptığına gelindiğinde ise, cumhuriyeti seven Sarkozy’yi yıldırmaya ve onun kendisini ifade etmesine engel olmaya çalışan bir grup olarak tanımlandığı görülmektedir.  Cumhuriyetin en temel unsurları olan tartışma ve seçim konuşmasını engellemeye çalışan niteliğe bürünen sosyalistlerin karşısında, iç grubun lideri olarak Sarkozy, kendisini </w:t>
      </w:r>
      <w:r w:rsidRPr="00E97E0B">
        <w:rPr>
          <w:rFonts w:ascii="Times" w:eastAsia="Calibri" w:hAnsi="Times" w:cs="Times New Roman"/>
          <w:i/>
          <w:iCs/>
          <w:sz w:val="24"/>
          <w:szCs w:val="24"/>
        </w:rPr>
        <w:t>biz</w:t>
      </w:r>
      <w:r w:rsidRPr="00E97E0B">
        <w:rPr>
          <w:rFonts w:ascii="Times" w:eastAsia="Calibri" w:hAnsi="Times" w:cs="Times New Roman"/>
          <w:sz w:val="24"/>
          <w:szCs w:val="24"/>
        </w:rPr>
        <w:t xml:space="preserve"> için kararlılıkla mücadele eden güçlü, iradeli, güvenilir ve durdurulamaz bir aday olduğu imajını söylem düzeyinde vermeyi amaçlamaktadır. Özellikle son yıllarda küresel çapta sağ seçmende ağırlığı iyice artan; şeffaflığa, güvenliğe, devlet otoritesine, gerektiğinde bazı devlet müdahalesini de hoşgören piyasa ekonomisine, güçlü liderlere ve otoriterleşmeye olan eğilimin artıyor olduğu bir dönemden geçildiği söylenebilir.</w:t>
      </w:r>
      <w:r w:rsidRPr="00E97E0B">
        <w:rPr>
          <w:rFonts w:ascii="Times" w:eastAsia="Calibri" w:hAnsi="Times" w:cs="Times New Roman"/>
          <w:sz w:val="24"/>
          <w:szCs w:val="24"/>
          <w:vertAlign w:val="superscript"/>
        </w:rPr>
        <w:footnoteReference w:id="320"/>
      </w:r>
      <w:r w:rsidRPr="00E97E0B">
        <w:rPr>
          <w:rFonts w:ascii="Times" w:eastAsia="Calibri" w:hAnsi="Times" w:cs="Times New Roman"/>
          <w:sz w:val="24"/>
          <w:szCs w:val="24"/>
        </w:rPr>
        <w:t xml:space="preserve"> Bu taleplerin,</w:t>
      </w:r>
      <w:r w:rsidR="007E691D" w:rsidRPr="00E97E0B">
        <w:rPr>
          <w:rFonts w:ascii="Times" w:eastAsia="Calibri" w:hAnsi="Times" w:cs="Times New Roman"/>
          <w:sz w:val="24"/>
          <w:szCs w:val="24"/>
        </w:rPr>
        <w:t xml:space="preserve"> </w:t>
      </w:r>
      <w:r w:rsidRPr="00E97E0B">
        <w:rPr>
          <w:rFonts w:ascii="Times" w:eastAsia="Calibri" w:hAnsi="Times" w:cs="Times New Roman"/>
          <w:sz w:val="24"/>
          <w:szCs w:val="24"/>
        </w:rPr>
        <w:t>aşırı sağın yükselişine eşlik ettiği söylemek mümkündür. Bu durumun, Sarkozy’nin savunduğu düşünceleri dile getirme stratejilerini etkilediği düşünülmektedir. Bunu yaparken karşı taraf olan sosyalistleri ahlaksızlık imalarıyla ötekileştirmesi, sert ve hâkim bir görünüm verme ihtiyacına da cevap verir görünmektedir. Karşı tarafı kutuplaştırma stratejisiyle, çalmak isteğiyle ve haksızlık yaparak kendisini elemeyi istemekle suçlamakta ve bunu da aslında cumhuriyete ve cumhuriyetçiliğe bir saldırı olarak sunarak ve kendisine bu saldırıya güçlü bir şekilde karşılık veren bir lider imajı verilmektedir. Bununla birlikte mağdur bir profil de çizerek, durumu dramatikleştirme ve kendisini kurbanlaştırma yoluna giderek muhatap kitleyle arasında bir empati oluşmasına hizmet etmektedir.</w:t>
      </w:r>
    </w:p>
    <w:p w14:paraId="67F6616A" w14:textId="77777777" w:rsidR="002858AE" w:rsidRPr="00E97E0B" w:rsidRDefault="002858AE" w:rsidP="002858AE">
      <w:pPr>
        <w:spacing w:before="120" w:after="120" w:line="240" w:lineRule="auto"/>
        <w:jc w:val="both"/>
        <w:rPr>
          <w:rFonts w:ascii="Times" w:eastAsia="Calibri" w:hAnsi="Times" w:cs="Times New Roman"/>
          <w:i/>
          <w:iCs/>
          <w:sz w:val="24"/>
          <w:szCs w:val="24"/>
        </w:rPr>
      </w:pPr>
      <w:r w:rsidRPr="00E97E0B">
        <w:rPr>
          <w:rFonts w:ascii="Times" w:eastAsia="Calibri" w:hAnsi="Times" w:cs="Times New Roman"/>
          <w:i/>
          <w:iCs/>
          <w:sz w:val="24"/>
          <w:szCs w:val="24"/>
        </w:rPr>
        <w:t>“</w:t>
      </w:r>
      <w:r w:rsidRPr="00E97E0B">
        <w:rPr>
          <w:rFonts w:ascii="Times" w:eastAsia="Calibri" w:hAnsi="Times" w:cs="Times New Roman"/>
          <w:sz w:val="24"/>
          <w:szCs w:val="24"/>
        </w:rPr>
        <w:t xml:space="preserve">Aslında bu gösteriyi izlerken 1965 yılını hatırladım. Çok gençtim ama François Mitterand’ın General De Gaule’e karşı cumhuriyetçilerin adayı olmaya cürret ettiği ve Fransa’yı kurtaran, vatanı kurtaran General De Gaule’ün cumhuriyetçi olmadığını söylediği anları, kareleri görmüştüm. (Ders olarak tarih, Kanıtsallık, Kurbanlaştırma) Hep aynı şeyi yapıyorlar! Kelimeyi sahipleniyorlar ve içini boşaltıyorlar. (Genelleştirme, Kutuplaştırma) Bizim için ise cumhuriyetin bir anlamı vardır. (Mesafe Koyma, İma) Cumhuriyet bir projedir! Hatta diyebilirim ki cumhuriyet bir ahlaktır. Cumhuriyette ahlaksızlara yer yoktur. Cumhuriyette almadan önce verilir. Cumhuriyette ödevler yerine getirilir çünkü ödevini yerine </w:t>
      </w:r>
      <w:r w:rsidRPr="00E97E0B">
        <w:rPr>
          <w:rFonts w:ascii="Times" w:eastAsia="Calibri" w:hAnsi="Times" w:cs="Times New Roman"/>
          <w:sz w:val="24"/>
          <w:szCs w:val="24"/>
        </w:rPr>
        <w:lastRenderedPageBreak/>
        <w:t>getirmek modası geçmiş bir şey değildir. Cumhuriyette saygı bir zorunluluktur. Cumhuriyette medeni davranmak bir ödevdir. Cumhuriyette nezaket bir değerdir. İşte bizim değerlerimiz bunlardır! (Mesafe Koyma, Ötekileştirme)</w:t>
      </w:r>
      <w:r w:rsidRPr="00E97E0B">
        <w:rPr>
          <w:rFonts w:ascii="Times" w:eastAsia="Calibri" w:hAnsi="Times" w:cs="Times New Roman"/>
          <w:sz w:val="24"/>
          <w:szCs w:val="24"/>
          <w:vertAlign w:val="superscript"/>
        </w:rPr>
        <w:footnoteReference w:id="321"/>
      </w:r>
      <w:r w:rsidRPr="00E97E0B">
        <w:rPr>
          <w:rFonts w:ascii="Times" w:eastAsia="Calibri" w:hAnsi="Times" w:cs="Times New Roman"/>
          <w:i/>
          <w:iCs/>
          <w:sz w:val="24"/>
          <w:szCs w:val="24"/>
        </w:rPr>
        <w:t xml:space="preserve"> </w:t>
      </w:r>
    </w:p>
    <w:p w14:paraId="720404BC"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Fransa’da solun önemli tarihi figürlerinden François Mitterand’a gönderme yapan konuşmacı, Fransız sol siyaseti karalayacak biçimde bir durum kavramsallaştırmasına sağın önemli siyasi figürü olan ve İkinci Dünya Savaşı sırasında direnişin sembol ismi olan Charles de Gaule ile ilgili bir tartışma üzerinden gitmektedir. Konuşmacı, dış grup olarak gördüğü solun sembol isminin, iç grup olarak gördüğü sağın sembol ismine yönelik bir başka söylemini kendi gününün bağlamına taşıyarak buradan bir öteki genellemesine varmaktadır. Tarihsel figürleri genellemesine kanıt olarak sunan Sarkozy, burada kendi iç grubunu kurbanlaştırmaktadır. Kelimeyi sahiplenip içini boşaltmakla suçladığı dış grubu iç gruptan farklılaştırarak, kelimelerin iç grubu için bir anlamı olduğunu söyleyerek, dış grup için aynı durumun söz konusu olmadığını söylemekte ve karşı grubu bu özellik üzerinden tanımlamaktadır. İma yoluyla </w:t>
      </w:r>
      <w:r w:rsidRPr="00E97E0B">
        <w:rPr>
          <w:rFonts w:ascii="Times" w:eastAsia="Calibri" w:hAnsi="Times" w:cs="Times New Roman"/>
          <w:i/>
          <w:iCs/>
          <w:sz w:val="24"/>
          <w:szCs w:val="24"/>
        </w:rPr>
        <w:t>öteki</w:t>
      </w:r>
      <w:r w:rsidRPr="00E97E0B">
        <w:rPr>
          <w:rFonts w:ascii="Times" w:eastAsia="Calibri" w:hAnsi="Times" w:cs="Times New Roman"/>
          <w:sz w:val="24"/>
          <w:szCs w:val="24"/>
        </w:rPr>
        <w:t>ni ahlaksızlıkla nitelemeyi sürdürmekte ve böylece dış grupla iç grup arasına belirgin bir mesafe koymaktadır. Bu belirgin bir ötekileştirme örneği olarak değerlendirilebilir.</w:t>
      </w:r>
    </w:p>
    <w:p w14:paraId="1F368959"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“Cumhuriyette kimse yolun ortasında bırakılmaz. Yaşamın akışı içinde meydana gelen kazaların mağdurlarına, gariplere, savunmasız durumda olanlara, zor durumda olanlara el uzatılır, çünkü cumhuriyet dayanışmadır. Fakat dayanışma -bunu söyleyeceğim çünkü bu benim görevim- dolandırıcılıkla, düzenbazlıkla, suistimalle yıpratılmamalıdır. (Karşı Gerçeklik)  Düzenbazlara, dolandırıcılara ve vurgunculara yer yoktur. Dayanışma Fransızların emeğine dayanır. Bu emeğin meyvesini çarçur etmeye, suistimal etmeye kimsenin hakkı yoktur. Dayanışma çağrısı yapanlara, dayanışmayı finanse etmek için çalışanlardan daha fazla ödeme hakkı diye bir şey olamaz. (Kural İfadesi) Hayatı boyunca hiç çalışmamış ve hiç biriktirmemiş olanlara daha fazla ödeme hakkı diye bir şey olamaz. Çünkü bize göre dayanışma hiçbir zaman sadaka vermek değildir. (Karşı Gerçeklik) Dayanışma ihtiyacı olana kendini yeniden toparlaması için, toplumda yerini tekrar bulabilmesi için yardım etmektedir. Yalnız kalan anneye çocuklarını diğerleri kadar iyi yetiştirebilmesi için yardım etmektir. Hastaların herkesin içinde yaşamalarına yardım etmektir. Engelli bir çocuğun diğerleri gibi okula gitmesine yardım etmektir, işsizlere formasyon vermektir. Dayanışma marjinalleşmeyi, dışlanmayı teşvik etme değil, önleme yoludur. (Karşı Gerçeklik) Dayanışma her şeyini kaybedenlere hayatının ve varlığının kontrolünü eline almasına yardım eder. Dayanışma sadece sadaka vermek suretiyle, hayatta kalma imkanları olmayanların yalnızca hayatta kalmasını sağlamak değildir. (Kural İfadeleri)</w:t>
      </w:r>
      <w:r w:rsidRPr="00E97E0B">
        <w:rPr>
          <w:rFonts w:ascii="Times" w:eastAsia="Calibri" w:hAnsi="Times" w:cs="Times New Roman"/>
          <w:sz w:val="24"/>
          <w:szCs w:val="24"/>
          <w:vertAlign w:val="superscript"/>
        </w:rPr>
        <w:footnoteReference w:id="322"/>
      </w:r>
    </w:p>
    <w:p w14:paraId="0A3FE849"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Kendisini sıklıkla Cumhuriyetçi olarak nitelendiren sağ siyaset ve Sarkozy, burada açıkça sahiplendiği kavramın hangi değerlerle doldurulduğunu açıklarken cumhuriyeti şahsi veya kolektif haksızlıklarla mücadele eden ve zor durumda olanlara yardım eden bir varlık olarak tanımlamaktadır. Tıpkı eşitlikle ilgili önceden incelenen kesitteki gibi, dayanışma kelimesini cumhuriyet kelimesinde yaptığının aksine tanımlamadığı görülmektedir. “Cumhuriyet …’dir” benzeri ifadeleri dayanışma ile kurmamıştır, zira dayanışma Fransız siyasetinde çoğunlukla solun benimsediği ve sahiplendiği bir kavram olup, sağ siyaseti o denli ilgilendiren bir kavram olmamıştır. Benzer bir durum eşitlik kavramı için de söz konusudur. Bu elbette bu kavramların doğrudan reddedildiği anlamına gelmemektedir, yalnızca bu kavramların siyaset yapma tarzının ana bir unsuru olmamasıyla ilgili bir durum niteliğindedir. Dayanışmanın ne olduğunun doğrudan tanımlanmasından kaçınıldığı bu kesitte, dayanışmanın unsuru ile ilgili ipucu verilmesiyle yetinilmiş ve Fransızların çalışmasına dayandığı dile getirilmiştir. Ayrıca, çoğunlukla pozitif olduğu örtülü olarak kabul edilen bu kavramın suistimali üzerinden dış gruba eleştiri yöneltildiği görülmektedir. </w:t>
      </w:r>
    </w:p>
    <w:p w14:paraId="50BF00E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Çalışmayanların çalışanlara gelirinin transferinin talep edildiğini söyleyerek, dayanışma çağrısı yapanların samimiyetini sorgulayarak, dayanışmanın ne olmadığı üzerinden negatif bir tanım yapan Sarkozy, sadakacılığı reddettiğini dile getirmekte ve dış grup tarafından talep edilen şeyin bu olduğunu, dolayısıyla dış grubun kendi zihnindeki “gerçek” talebini tanımlamaktadır. Konuşmacıya göre dış grubun dayanışma talebi, örtülü bir şekilde Fransızların emeğini ziyan eden kimseler tarafından yapılmaktadır ve bu talep de marjinalleşmeye teşvik etmektedir. Burada aynı zamanda dış grup olarak nitelediği grupların talep etmediği ve fakat zaman zaman ortaya çıkan kısmî yan etkileri sanki sol siyasetin temel amacıymış gibi sunması, bir karşı gerçeklik yaratmaya karşılık gelmektedir. Sunulan karşı gerçeklik kural ifadesi biçiminde sunularak, karşı taraf oluşturulan tanımlama içine hapsedilerek, sabit bir olumsuz kötü olarak şekillendirilmektedir. </w:t>
      </w:r>
    </w:p>
    <w:p w14:paraId="4A92633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Konuşmada sadaka ile ilgili sarf edilen cümlede “…sadaka bize göre hiçbir zaman...” şeklinde bir sözceleme bulunmaktadır. Dayanışmanın sadakayla sıklıkla zıt anlamda kullanıldığı sosyalist terminolojiye yakın bir anlam veren konuşmacı, bu noktada daha geniş bir kesimi ikna edecek bir strateji izlemeyi hedeflemektedir. </w:t>
      </w:r>
      <w:r w:rsidRPr="00E97E0B">
        <w:rPr>
          <w:rFonts w:ascii="Times" w:eastAsia="Calibri" w:hAnsi="Times" w:cs="Times New Roman"/>
          <w:sz w:val="24"/>
          <w:szCs w:val="24"/>
        </w:rPr>
        <w:lastRenderedPageBreak/>
        <w:t>Zira sol siyasette talep edilen sosyal yardımların artırılması sadaka olarak kabul edilmemekte, aksine sadakaya ihtiyaç duyulmayacak bir hale gelinmesi arzulanmaktadır.</w:t>
      </w:r>
      <w:r w:rsidRPr="00E97E0B">
        <w:rPr>
          <w:rFonts w:ascii="Times" w:eastAsia="Calibri" w:hAnsi="Times" w:cs="Times New Roman"/>
          <w:sz w:val="24"/>
          <w:szCs w:val="24"/>
          <w:vertAlign w:val="superscript"/>
        </w:rPr>
        <w:footnoteReference w:id="323"/>
      </w:r>
      <w:r w:rsidRPr="00E97E0B">
        <w:rPr>
          <w:rFonts w:ascii="Times" w:eastAsia="Calibri" w:hAnsi="Times" w:cs="Times New Roman"/>
          <w:sz w:val="24"/>
          <w:szCs w:val="24"/>
        </w:rPr>
        <w:t xml:space="preserve"> </w:t>
      </w:r>
    </w:p>
    <w:p w14:paraId="6CF58295" w14:textId="6E52850F"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“Dayanışma ülkemizdeki her bir kişiye: “Senin hayatta kalma imkânın var ama bunun için emeğine, çabana, liyakatine güvenmelisin. Toplum sana yardım edecek ama hayatının kontrolünü eline almalısın.” demektir. Cumhuriyette -değerli dostlarım- şirket yöneticisi çalışanlardan sorumludur, öğretmen öğrencilerinden sorumludur ve ebeveynler çocuklarından sorumludur. Cumhuriyette insanların sorumlu olmasına yardım edilir, sorumsuzluğa teşvik edilmez. Toplum her şeyin suçlusu değildir. Herkes kendi kararlarının sorumluluğunu taşır. (Kural İfadeleri) Cumhuriyette şirket yöneticisi şirketini sıkıntıya soktuğunda süslü bir paraşüte atlayıp gidemez. Cumhuriyette öğretmen sadece dersi yapmakla yetinmez. Dersten sonra çocuklarla ilgilenmek için kalır ve onlara destek verilir ve rehberlik eder</w:t>
      </w:r>
      <w:r w:rsidR="007404F0" w:rsidRPr="00E97E0B">
        <w:rPr>
          <w:rFonts w:ascii="Times" w:eastAsia="Calibri" w:hAnsi="Times" w:cs="Times New Roman"/>
          <w:sz w:val="24"/>
          <w:szCs w:val="24"/>
        </w:rPr>
        <w:t>…”</w:t>
      </w:r>
      <w:r w:rsidR="007404F0" w:rsidRPr="00E97E0B">
        <w:rPr>
          <w:rStyle w:val="FootnoteReference"/>
          <w:rFonts w:ascii="Times" w:eastAsia="Calibri" w:hAnsi="Times" w:cs="Times New Roman"/>
          <w:sz w:val="24"/>
          <w:szCs w:val="24"/>
        </w:rPr>
        <w:footnoteReference w:id="324"/>
      </w:r>
      <w:r w:rsidRPr="00E97E0B">
        <w:rPr>
          <w:rFonts w:ascii="Times" w:eastAsia="Calibri" w:hAnsi="Times" w:cs="Times New Roman"/>
          <w:sz w:val="24"/>
          <w:szCs w:val="24"/>
        </w:rPr>
        <w:t xml:space="preserve"> (Uslamlama)</w:t>
      </w:r>
    </w:p>
    <w:p w14:paraId="219F782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Sarkozy, dayanışmayı en açık şekilde kurguladığı bir aktarım cümlesi örneği ile tanımlamaktadır. Burada bireysel teşebbüsü ve başarıyı önceleyen bir kavramsallaştırma olduğu görülmektedir. Liyakat ve kişilerin hayatının kontrolünü elinde tutmaları ve sorumlu olmaları ideali hemen hemen herkesin kabul edebileceği pozitif değerler olmakla birlikte, dayanışmayı Sarkozy’nin söyleminde tanımlamaya en yakın ifadenin kavramı liyakat, kişisel özgürlük ve hiyerarşik sorumluluk üzerinden tanımlaması, toplumsal niteliğinin aksine dayanışmayı bireysel zemine ve otoriteye çekmektiğini göstermektedir. Bu da Sarkozy’nin dünya görüşünü yansıtmaktadır. Devamında gelen, “toplum her şeyin suçlusu değildir” ifadesi de dayanışmanın toplumsal yönünü örter nitelikte bir söylem tercihidir. Uslamlamaya başvurarak cumhuriyeti, şirket yöneticisi, öğretmen ve anne baba örneklerini vererek örneklendiren konuşmacı, piyasacı ve belirli değerleri aşılayan, otoriter bir kurum olarak gördüğünü düşündürebilir.  </w:t>
      </w:r>
    </w:p>
    <w:p w14:paraId="7DD14AE7" w14:textId="0629BEB2" w:rsidR="002858AE" w:rsidRPr="00E97E0B" w:rsidRDefault="002858AE" w:rsidP="002B7FA9">
      <w:pPr>
        <w:pStyle w:val="Heading3"/>
      </w:pPr>
      <w:bookmarkStart w:id="176" w:name="_Toc141133108"/>
      <w:r w:rsidRPr="00E97E0B">
        <w:t>4.</w:t>
      </w:r>
      <w:r w:rsidR="008F6C47" w:rsidRPr="00E97E0B">
        <w:t>3.</w:t>
      </w:r>
      <w:r w:rsidRPr="00E97E0B">
        <w:t>2. Sol Parti (PG)</w:t>
      </w:r>
      <w:bookmarkEnd w:id="176"/>
      <w:r w:rsidRPr="00E97E0B">
        <w:t xml:space="preserve"> </w:t>
      </w:r>
    </w:p>
    <w:p w14:paraId="61337ED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 dönemde Sarkozy’nin rakibi olan aşırı sol ittifakın adı Sol Cephe’dir (Front de Gauche). Sol Cephe Jean-Luc Mélenchon’un kurmuş olduğu Sol Parti </w:t>
      </w:r>
      <w:r w:rsidRPr="00E97E0B">
        <w:rPr>
          <w:rFonts w:ascii="Times" w:eastAsia="Calibri" w:hAnsi="Times" w:cs="Times New Roman"/>
          <w:sz w:val="24"/>
          <w:szCs w:val="24"/>
        </w:rPr>
        <w:lastRenderedPageBreak/>
        <w:t xml:space="preserve">(Parti de Gauche, PG) ile Fransız Komünist Partisi’nin (Parti Communiste Français, PCF) bir araya gelerek Mélenchon’u aday gösterdiği bu ittifak olmak üzere, komünist ve antikapitalist bir siyaset izlemekteydi ve halen destek almakta olan PG, o dönemde önemli bir destek almaktaydı. . Bu ittifak, aynı zamanda ikinci turda Sarkozy’ye karşı eski partisinin adayı François Hollande’ı desteklemiştir.  Birinci turda Le Pen’den sonra en çok oy alan aday olması da Sarkozy’nin söylemlerinde edindiği yeri açıklamaktadır. </w:t>
      </w:r>
    </w:p>
    <w:p w14:paraId="0F961949" w14:textId="3559998B"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“…Küçük bir sosyalist klübü ön seçimlerde bir araya gelmiş ve nelerin düşünülmesi ve söylenmesi gerektiğine karar vermişler. (İroni, Kutuplaştırma) Ve onlar gibi düşünmeyen ve konuşmayan herkes cumhuriyet tartışmasından dışlanmış. Rahatsız da olmuyorlar, olur şey değil! (Kutuplaştırma)... …İnsan hatalarını kabul etmeli hatta dostlarının hatalarını da kabul etmeli, zayıf biri bu tercihi yapmaktan acizdir. (Kural İfadesi, İma, Ötekini Olumsuz Gösterme) Peki ama ne düşünmem gerekiyordu, Bayan Aubry beni 183 yıl hapsi olan Madoff’a</w:t>
      </w:r>
      <w:r w:rsidRPr="00E97E0B">
        <w:rPr>
          <w:rFonts w:ascii="Times" w:eastAsia="Calibri" w:hAnsi="Times" w:cs="Times New Roman"/>
          <w:sz w:val="24"/>
          <w:szCs w:val="24"/>
          <w:vertAlign w:val="superscript"/>
        </w:rPr>
        <w:footnoteReference w:id="325"/>
      </w:r>
      <w:r w:rsidRPr="00E97E0B">
        <w:rPr>
          <w:rFonts w:ascii="Times" w:eastAsia="Calibri" w:hAnsi="Times" w:cs="Times New Roman"/>
          <w:sz w:val="24"/>
          <w:szCs w:val="24"/>
        </w:rPr>
        <w:t xml:space="preserve"> benzettiğinde ne düşünmem gerekiyordu? Bayan Aubry</w:t>
      </w:r>
      <w:r w:rsidRPr="00E97E0B">
        <w:rPr>
          <w:rFonts w:ascii="Times" w:eastAsia="Calibri" w:hAnsi="Times" w:cs="Times New Roman"/>
          <w:sz w:val="24"/>
          <w:szCs w:val="24"/>
          <w:vertAlign w:val="superscript"/>
        </w:rPr>
        <w:footnoteReference w:id="326"/>
      </w:r>
      <w:r w:rsidRPr="00E97E0B">
        <w:rPr>
          <w:rFonts w:ascii="Times" w:eastAsia="Calibri" w:hAnsi="Times" w:cs="Times New Roman"/>
          <w:sz w:val="24"/>
          <w:szCs w:val="24"/>
        </w:rPr>
        <w:t xml:space="preserve"> ve Bay Hollande’ın</w:t>
      </w:r>
      <w:r w:rsidRPr="00E97E0B">
        <w:rPr>
          <w:rFonts w:ascii="Times" w:eastAsia="Calibri" w:hAnsi="Times" w:cs="Times New Roman"/>
          <w:sz w:val="24"/>
          <w:szCs w:val="24"/>
          <w:vertAlign w:val="superscript"/>
        </w:rPr>
        <w:footnoteReference w:id="327"/>
      </w:r>
      <w:r w:rsidRPr="00E97E0B">
        <w:rPr>
          <w:rFonts w:ascii="Times" w:eastAsia="Calibri" w:hAnsi="Times" w:cs="Times New Roman"/>
          <w:sz w:val="24"/>
          <w:szCs w:val="24"/>
        </w:rPr>
        <w:t>özürlerini hâlâ bekliyorum. Bay Hollande’ın katıldığı bir toplantıda taraftarlarından biri beni Franco’ya benzetti. Bay Hollande’on özrünü hâlâ bekliyorum. Hollande’ı destekleyen komünist gazete, komünistler beni Pétain’a</w:t>
      </w:r>
      <w:r w:rsidRPr="00E97E0B">
        <w:rPr>
          <w:rFonts w:ascii="Times" w:eastAsia="Calibri" w:hAnsi="Times" w:cs="Times New Roman"/>
          <w:sz w:val="24"/>
          <w:szCs w:val="24"/>
          <w:vertAlign w:val="superscript"/>
        </w:rPr>
        <w:footnoteReference w:id="328"/>
      </w:r>
      <w:r w:rsidRPr="00E97E0B">
        <w:rPr>
          <w:rFonts w:ascii="Times" w:eastAsia="Calibri" w:hAnsi="Times" w:cs="Times New Roman"/>
          <w:sz w:val="24"/>
          <w:szCs w:val="24"/>
        </w:rPr>
        <w:t xml:space="preserve"> benzettiler, hâlâ Bay Hollande’ın özrünü bekliyorum. Dostu Mélenchon -çünkü bilirsiniz son dakika dostları hep en azimlileri olur- beni Laval’e</w:t>
      </w:r>
      <w:r w:rsidRPr="00E97E0B">
        <w:rPr>
          <w:rFonts w:ascii="Times" w:eastAsia="Calibri" w:hAnsi="Times" w:cs="Times New Roman"/>
          <w:sz w:val="24"/>
          <w:szCs w:val="24"/>
          <w:vertAlign w:val="superscript"/>
        </w:rPr>
        <w:footnoteReference w:id="329"/>
      </w:r>
      <w:r w:rsidRPr="00E97E0B">
        <w:rPr>
          <w:rFonts w:ascii="Times" w:eastAsia="Calibri" w:hAnsi="Times" w:cs="Times New Roman"/>
          <w:sz w:val="24"/>
          <w:szCs w:val="24"/>
        </w:rPr>
        <w:t xml:space="preserve"> benzetti. Bay Hollande’ın özrünü uzun zaman daha beklemeli miyim? (Ötekini Kötü Gösterme) Size bir şey diyeceğim Burada söz konusu olan ben değilim, ben onların hakaretlerine alışığım. </w:t>
      </w:r>
      <w:r w:rsidRPr="00E97E0B">
        <w:rPr>
          <w:rFonts w:ascii="Times" w:eastAsia="Calibri" w:hAnsi="Times" w:cs="Times New Roman"/>
          <w:sz w:val="24"/>
          <w:szCs w:val="24"/>
        </w:rPr>
        <w:lastRenderedPageBreak/>
        <w:t>Bana ilk turda oy veren ve bu ders vermeye kalkanların hizipçilik, nefret, yalan iftira ve sataşmaları nedeniyle hakarete uğramış hisseden bütün Fransızlar, hakaret ettikleri sizsiniz!...</w:t>
      </w:r>
      <w:r w:rsidR="007404F0" w:rsidRPr="00E97E0B">
        <w:rPr>
          <w:rFonts w:ascii="Times" w:eastAsia="Calibri" w:hAnsi="Times" w:cs="Times New Roman"/>
          <w:sz w:val="24"/>
          <w:szCs w:val="24"/>
        </w:rPr>
        <w:t>”</w:t>
      </w:r>
      <w:r w:rsidR="007404F0" w:rsidRPr="00E97E0B">
        <w:rPr>
          <w:rStyle w:val="FootnoteReference"/>
          <w:rFonts w:ascii="Times" w:eastAsia="Calibri" w:hAnsi="Times" w:cs="Times New Roman"/>
          <w:sz w:val="24"/>
          <w:szCs w:val="24"/>
        </w:rPr>
        <w:footnoteReference w:id="330"/>
      </w:r>
      <w:r w:rsidRPr="00E97E0B">
        <w:rPr>
          <w:rFonts w:ascii="Times" w:eastAsia="Calibri" w:hAnsi="Times" w:cs="Times New Roman"/>
          <w:sz w:val="24"/>
          <w:szCs w:val="24"/>
        </w:rPr>
        <w:t xml:space="preserve"> (Kutuplaştırma)</w:t>
      </w:r>
    </w:p>
    <w:p w14:paraId="0C54BFD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Hollande’la ittifakı ve Sarkozy’ye yönelttiği sert suçlama ve eleştiriler nedeniyle sosyalist Martine Aubry’ye de yanıt verilmiş, kendisini dolandırıcıya benzetmesini bir diğer ötekini olumsuz gösterme stratejisi ile yanıtlamıştır. Burada ironiyi kullanan Sarkozy, “küçük bir sosyalist klüp” olarak adlandırdığı karşı ittifakı, kullandığı sıfat ve benzetmeyle önce güçsüz ve önemsiz göstererek, ardından kullandığı fiille onların o “güçsüzlüğüne” rağmen ne düzeyde anti-demokratik olduklarını kastederek kutuplaştırmaya başvurduğu görülmektedir. Daha sonra, onları seçmene hakaret etmekle ve hatalarını kabul etmemekle itham eden konuşmacı, sol ittifak seçmenine “kendi hatalarını göstererek” ve özeleştiri yapmaları gerektiği mesajını vermektedir. Aşırı sağın seçmenine karşı ise ihtiyatlı ve empati kuracak şekilde bir yaklaşım sergilediği görülmektedir. </w:t>
      </w:r>
    </w:p>
    <w:p w14:paraId="2A4F748B" w14:textId="17BEBAAA"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“…İlk turda, ilk turda, ilk turu hatırlarsınız ikinci tura kalmamam gerekiyordu, o çok iyi hazırladıkları planlamalarını bozduğum için üzgünüm ama tam da düşündükleri gibi olmadı. (İma, İroni) İlk tur o harika solun; bir deha, çok akıllı ve komşu olarak arzulanan bir adamla ilerlemesi ile tarif edildi! (İroni, Kutuplaştırma) Bay Mélenchon ile. Kendisi Küba’yı bir demokrasi, Fidel Castro’yu da bir demokrat olarak tarif etti. Cumhurbaşkanlığına soyunan bu adam Fransızlara Auvergne’de -biliyorsunuz- şunu dedi: ‘Eğer yolda bir zengin görürseniz, anlıyorsunuz ayda 4000 avrodan fazla kazanan bir erkek ya da kadın görürseniz ceplerini boşaltın.’ Cumhuriyetin çocuklarının cumhurbaşkanı adayı olan birinin bunları söylediğini duyması ne kadar güzel. Çocuklarını büyüten ebeveynlerin bir cumhurbaşkanı adayının şu sözlerini duymaları gayet güzel: ‘Çalışan ve sizden çok kazananın ceplerini boşaltın.’ Ne güzel! Bu bir utançtır! Bay Hollande’ı Bay Mélenchon’un aktif katılımı da rahatsız etmiyor. (Olumsuz Ötekini Gösterme, Kutuplaştırma, Dramatikleştirme) Bakın bu Bay Mélenchon’a, dostu Bay Hollande’dan kayık kaptanı diye bahsediyordu, kayık gelince aceleyle binmeye çalıştı. Bu Fransa’yı yönetmek istiyor, bu ders vermeye kalkıyor, bu örnek olmak istiyor! (Olumsuz Ötekini Gösterme)… …İyi ki seçim sizi ilgilendirmiyormuş, hele bir de ilgilendirseydi acaba ne olurdu. (Ulusal Övünç) Bu seçimde bir devrim yapacak olan Bay Mélenchon’un dehası %10’u zar zor geçti…”</w:t>
      </w:r>
    </w:p>
    <w:p w14:paraId="4536B424" w14:textId="196A4D42" w:rsidR="002858AE" w:rsidRPr="00E97E0B" w:rsidRDefault="002858AE" w:rsidP="002858AE">
      <w:pPr>
        <w:spacing w:before="120" w:after="120" w:line="240" w:lineRule="auto"/>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 xml:space="preserve">“…Bize çok kötü bir seçim kampanyası gerçekleştirdiğini anlattıkları Bayan Le Pen ise %17,9’la bitirdi. (İroni) Bana François Hollande lehine ve benim aleyhime bir referandum olduğu söylendi. 27,28’le iki tane referandum olduğunu söylemek zor olur. Peki bu Fransızlar ne dediler? Marine Le Pen’e oy veren bu altı buçuk milyon Fransıza seslenmek istiyorum. (Empati İfadesi) 35 yıllık siyasi hayatımda asla hiç kimse ne yakından ne uzaktan benim yaptığım ile Ulusal Cephe arasında hiçbir yakınlık göremez, asla! Tüm siyasi liderler arasında Bay Le Pen’le hiç kuşkusuz en </w:t>
      </w:r>
      <w:r w:rsidRPr="00E97E0B">
        <w:rPr>
          <w:rFonts w:ascii="Times" w:eastAsia="Calibri" w:hAnsi="Times" w:cs="Times New Roman"/>
          <w:color w:val="000000"/>
          <w:sz w:val="24"/>
          <w:szCs w:val="24"/>
        </w:rPr>
        <w:lastRenderedPageBreak/>
        <w:t>çok tartışmış olan benim. Bir siyasi oluşumun sorumlusu olarak asla en ufak bir anlaşmayı, en ufak bir gizli uzlaşmayı kabul etmedim, asla! Ama hiç kimse, hiç kimse beni bu altı buçuk milyon Fransıza seslenmeme engel olamayacak çünkü onlara söyleyeceklerimiz var; onlara saygı duyulması, onların dikkate alınması, dinlenmesi ve hatta belki de bazen acılarının duyulması gerektiğini söyleyeceğiz…”</w:t>
      </w:r>
      <w:r w:rsidRPr="00E97E0B">
        <w:rPr>
          <w:rFonts w:ascii="Times" w:eastAsia="Calibri" w:hAnsi="Times" w:cs="Times New Roman"/>
          <w:color w:val="000000"/>
          <w:sz w:val="24"/>
          <w:szCs w:val="24"/>
          <w:vertAlign w:val="superscript"/>
        </w:rPr>
        <w:footnoteReference w:id="331"/>
      </w:r>
      <w:r w:rsidRPr="00E97E0B">
        <w:rPr>
          <w:rFonts w:ascii="Times" w:eastAsia="Calibri" w:hAnsi="Times" w:cs="Times New Roman"/>
          <w:color w:val="000000"/>
          <w:sz w:val="24"/>
          <w:szCs w:val="24"/>
        </w:rPr>
        <w:t xml:space="preserve"> </w:t>
      </w:r>
    </w:p>
    <w:p w14:paraId="5EA99308" w14:textId="77777777" w:rsidR="002858AE" w:rsidRPr="00E97E0B" w:rsidRDefault="002858AE" w:rsidP="002858AE">
      <w:pPr>
        <w:spacing w:before="120" w:after="120" w:line="360" w:lineRule="auto"/>
        <w:ind w:firstLine="720"/>
        <w:jc w:val="both"/>
        <w:rPr>
          <w:rFonts w:ascii="Times" w:eastAsia="Calibri" w:hAnsi="Times" w:cs="Times New Roman"/>
          <w:color w:val="000000"/>
          <w:sz w:val="24"/>
          <w:szCs w:val="24"/>
        </w:rPr>
      </w:pPr>
      <w:r w:rsidRPr="00E97E0B">
        <w:rPr>
          <w:rFonts w:ascii="Times" w:eastAsia="Calibri" w:hAnsi="Times" w:cs="Times New Roman"/>
          <w:color w:val="000000"/>
          <w:sz w:val="24"/>
          <w:szCs w:val="24"/>
        </w:rPr>
        <w:t xml:space="preserve">Bu kesitte öne çıkan üç önemli nokta olduğu söylenebilir. Bunların birincisi, konuşmacının aşırı sol ve sol siyasi rakiplere yaklaşım biçimi ile ilgilidir. İkincisi Sarkozy’nin dönemin Ulusal Cephe şimdiki adı ise Ulusal Birlik olan aşırı sağ olarak kabul edilen gruba yaklaşım biçimi ile ilgilidir. Üçüncüsü ise, burada görünür </w:t>
      </w:r>
      <w:r w:rsidRPr="00E97E0B">
        <w:rPr>
          <w:rFonts w:ascii="Times" w:eastAsia="Calibri" w:hAnsi="Times" w:cs="Times New Roman"/>
          <w:sz w:val="24"/>
          <w:szCs w:val="24"/>
        </w:rPr>
        <w:t>hâle</w:t>
      </w:r>
      <w:r w:rsidRPr="00E97E0B">
        <w:rPr>
          <w:rFonts w:ascii="Times" w:eastAsia="Calibri" w:hAnsi="Times" w:cs="Times New Roman"/>
          <w:color w:val="000000"/>
          <w:sz w:val="24"/>
          <w:szCs w:val="24"/>
        </w:rPr>
        <w:t xml:space="preserve"> gelen, daha önce incelenmiş, etnik kimliklere yaklaşım ile siyasi rakiplere yaklaşım arasındaki farklılıklar ile ilgilidir.  İkinci ve üçüncü kısım, Ulusal Cephe’den bahsedilen başlıkta ele alınmıştır.</w:t>
      </w:r>
    </w:p>
    <w:p w14:paraId="2A7A7E76" w14:textId="760CCF12" w:rsidR="002858AE" w:rsidRPr="00E97E0B" w:rsidRDefault="002858AE" w:rsidP="002B7FA9">
      <w:pPr>
        <w:pStyle w:val="Heading3"/>
      </w:pPr>
      <w:bookmarkStart w:id="177" w:name="_Toc141133109"/>
      <w:r w:rsidRPr="00E97E0B">
        <w:lastRenderedPageBreak/>
        <w:t>4.</w:t>
      </w:r>
      <w:r w:rsidR="008F6C47" w:rsidRPr="00E97E0B">
        <w:t>3</w:t>
      </w:r>
      <w:r w:rsidRPr="00E97E0B">
        <w:t>.</w:t>
      </w:r>
      <w:r w:rsidR="008F6C47" w:rsidRPr="00E97E0B">
        <w:t>3</w:t>
      </w:r>
      <w:r w:rsidRPr="00E97E0B">
        <w:t>. Yeşiller</w:t>
      </w:r>
      <w:bookmarkEnd w:id="177"/>
    </w:p>
    <w:p w14:paraId="3852459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Yeşiller, Fransa’da 70’li yıllardan itibaren siyasette görünmeye başlayan alternatif bir siyasi akımdır, ancak, bu alternatif, siyasette sağ-sol konumu açısından uzun bir dönem boyunca kendisini belirgin bir biçimde konumlandırmaktan uzaktı. Bununla birlikte, ekolojistler her ne kadar kendilerini “ne sağ ne sol” olarak kabul etmiş olsalar da ittifaklar genelde solda yapılagelmiştir. Bu durum, kesişen noktaların çokluğundan ve etkileşimin sol ile daha fazla mümkün olmasından kaynaklanmaktadır.</w:t>
      </w:r>
      <w:r w:rsidRPr="00E97E0B">
        <w:rPr>
          <w:rFonts w:ascii="Times" w:eastAsia="Calibri" w:hAnsi="Times" w:cs="Times New Roman"/>
          <w:sz w:val="24"/>
          <w:szCs w:val="24"/>
          <w:vertAlign w:val="superscript"/>
        </w:rPr>
        <w:footnoteReference w:id="332"/>
      </w:r>
      <w:r w:rsidRPr="00E97E0B">
        <w:rPr>
          <w:rFonts w:ascii="Times" w:eastAsia="Calibri" w:hAnsi="Times" w:cs="Times New Roman"/>
          <w:sz w:val="24"/>
          <w:szCs w:val="24"/>
        </w:rPr>
        <w:t xml:space="preserve"> </w:t>
      </w:r>
    </w:p>
    <w:p w14:paraId="4743973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Sarkozy’nin ekolojiyi ilgilendiren pek çok konuşması bulunmakla birlikte ekolojistleri doğrudan konumlandıran söylemi oldukça kısıtlıdır. Bununla birlikte, ekolojist siyasetçilerin sıklıkla kendisini suçladığını, dolayısıyla bir anlamda öteki konumu açısından Sarkozy ile aynı biz kavramının içinde yer almadıklarını söylemek mümkündür. Özellikle ekolojik dengenin korunmasına yönelik çevreci politikaları -örneğin nükleer enerji meselesinde olduğu gibi- ekonominin gelişmesine ve rekabetçiliğe bir engel olarak gören Sarkozy için ideolojik bir ayak bağıdır.</w:t>
      </w:r>
      <w:r w:rsidRPr="00E97E0B">
        <w:rPr>
          <w:rFonts w:ascii="Times" w:eastAsia="Calibri" w:hAnsi="Times" w:cs="Times New Roman"/>
          <w:sz w:val="24"/>
          <w:szCs w:val="24"/>
          <w:vertAlign w:val="superscript"/>
        </w:rPr>
        <w:footnoteReference w:id="333"/>
      </w:r>
      <w:r w:rsidRPr="00E97E0B">
        <w:rPr>
          <w:rFonts w:ascii="Times" w:eastAsia="Calibri" w:hAnsi="Times" w:cs="Times New Roman"/>
          <w:sz w:val="24"/>
          <w:szCs w:val="24"/>
        </w:rPr>
        <w:t xml:space="preserve"> Sarkozy ekolojiye ilişkin olarak, tıpkı ekonomik vizyonunda incelenen perspektife paralel bir anlayışa sahip olduğundan, ekolojinin korunmasına yönelik politikalara söylemsel düzeyde olumlu yaklaşmaktadır. Bununla birlikte, rasyonalize ettiği büyüme ve kalkınma anlayışı nedeniyle yeşil enerji konularına, yatırımcı bir anlayışla, ekonomik rasyonalitesi ölçüsünde ve sürdürülebilirlik kavramı çerçevesinde destek verir bir konumdadır. Bu da, ekolojistlerin siyasi taleplerini karşılamaktan uzak bir tavır olduğundan yeşil politikaları destekleyen gruplar tarafından sıkça sert eleştirilere maruz kalmasına sebep olmuştur. </w:t>
      </w:r>
    </w:p>
    <w:p w14:paraId="070C8354" w14:textId="77777777" w:rsidR="002858AE" w:rsidRPr="00E97E0B" w:rsidRDefault="002858AE" w:rsidP="002858AE">
      <w:pPr>
        <w:spacing w:before="120" w:after="120" w:line="360" w:lineRule="auto"/>
        <w:ind w:firstLine="720"/>
        <w:jc w:val="both"/>
        <w:rPr>
          <w:rFonts w:ascii="Times" w:eastAsia="Calibri" w:hAnsi="Times" w:cs="Times New Roman"/>
          <w:i/>
          <w:iCs/>
          <w:sz w:val="24"/>
          <w:szCs w:val="24"/>
        </w:rPr>
      </w:pPr>
      <w:r w:rsidRPr="00E97E0B">
        <w:rPr>
          <w:rFonts w:ascii="Times" w:eastAsia="Calibri" w:hAnsi="Times" w:cs="Times New Roman"/>
          <w:sz w:val="24"/>
          <w:szCs w:val="24"/>
        </w:rPr>
        <w:t xml:space="preserve">Yeşil siyaseti doğrudan hedef almanın, birçok açıdan zararı büyük olacaktır, zira yeşiller yalnızca kendilerini doğrudan bir sağ veya sol çizgide tanımlamamaktadır, aynı zamanda hem sağ hem de sol ile stratejik ittifaklar yapmaya müsait ilkesel yaklaşımlara sahiptirler. Dahası, çevreci hassasiyet, toplumun sağ kesiminde de sol kesiminde de çeşitli şekillerde mevcuttur. Sosyalist, </w:t>
      </w:r>
      <w:r w:rsidRPr="00E97E0B">
        <w:rPr>
          <w:rFonts w:ascii="Times" w:eastAsia="Calibri" w:hAnsi="Times" w:cs="Times New Roman"/>
          <w:sz w:val="24"/>
          <w:szCs w:val="24"/>
        </w:rPr>
        <w:lastRenderedPageBreak/>
        <w:t>liberal ya da muhafazakâr olsun toplumun her kesiminde çevre bilinci ve çevrenin geleceğine yönelik kaygılar aynı ağırlıkta olmasa da gözlenebilir.</w:t>
      </w:r>
      <w:r w:rsidRPr="00E97E0B">
        <w:rPr>
          <w:rFonts w:ascii="Times" w:eastAsia="Calibri" w:hAnsi="Times" w:cs="Times New Roman"/>
          <w:sz w:val="24"/>
          <w:szCs w:val="24"/>
          <w:vertAlign w:val="superscript"/>
        </w:rPr>
        <w:footnoteReference w:id="334"/>
      </w:r>
      <w:r w:rsidRPr="00E97E0B">
        <w:rPr>
          <w:rFonts w:ascii="Times" w:eastAsia="Calibri" w:hAnsi="Times" w:cs="Times New Roman"/>
          <w:sz w:val="24"/>
          <w:szCs w:val="24"/>
        </w:rPr>
        <w:t xml:space="preserve"> Ancak, konuşmacının, gerek siyasi grup olarak iktidar yarışında bir rakibi olmaması, gerekse kendilerini hedef almanın siyasi anlamda maliyeti nedeniyle, yeşil siyaseti ancak sol siyaseti söyleminin içine katarak, dolaylı veya çok sınırlı bir şekilde doğrudan hedef aldığı görülmektedir. Hedef almasının nedeni ise aşağıdaki kesitten de çıkarılabileceği gibi yeşil siyaseti sol siyaset içinde görmesidir.</w:t>
      </w:r>
    </w:p>
    <w:p w14:paraId="0616F467"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“…Ben halkın adayı olmak istiyorum çünkü demokraside siyaset için halk meşruiyetinden başka bir meşruiyet yoktur. Ben partileri bir araya getirmek istemiyorum. Fransızları bir araya getirmek istiyorum. Bir kesimi toplamak istemiyorum. Ben Fransız halkını partizan ayrışmaların ötesinde bir araya getirmek istiyorum. (Empati ifadesi) Değerler ve düşünceler etrafında toplamak istiyorum, çünkü benim için değerler ve düşünceler etiketlerden daha önemlidir. Merkeze doğru genişlemek isteyen, bağnazlıkta ve onları harekete geçiren bana duydukları nefret hisleriyle birleşen aşırı sol, yeşiller, Chevenementcılar</w:t>
      </w:r>
      <w:r w:rsidRPr="00E97E0B">
        <w:rPr>
          <w:rFonts w:ascii="Times" w:eastAsia="Calibri" w:hAnsi="Times" w:cs="Times New Roman"/>
          <w:sz w:val="24"/>
          <w:szCs w:val="24"/>
          <w:vertAlign w:val="superscript"/>
        </w:rPr>
        <w:footnoteReference w:id="335"/>
      </w:r>
      <w:r w:rsidRPr="00E97E0B">
        <w:rPr>
          <w:rFonts w:ascii="Times" w:eastAsia="Calibri" w:hAnsi="Times" w:cs="Times New Roman"/>
          <w:sz w:val="24"/>
          <w:szCs w:val="24"/>
        </w:rPr>
        <w:t>, komünistler, sosyalistlerden oluşan karmakarışık koalisyonun karşısına ben, Fransız halkının birliğini çıkarmak istiyorum (Kutuplaştırma, Ötekini olumsuz gösterme)…”</w:t>
      </w:r>
      <w:r w:rsidRPr="00E97E0B">
        <w:rPr>
          <w:rFonts w:ascii="Times" w:eastAsia="Calibri" w:hAnsi="Times" w:cs="Times New Roman"/>
          <w:sz w:val="24"/>
          <w:szCs w:val="24"/>
          <w:vertAlign w:val="superscript"/>
        </w:rPr>
        <w:t xml:space="preserve"> </w:t>
      </w:r>
      <w:r w:rsidRPr="00E97E0B">
        <w:rPr>
          <w:rFonts w:ascii="Times" w:eastAsia="Calibri" w:hAnsi="Times" w:cs="Times New Roman"/>
          <w:sz w:val="24"/>
          <w:szCs w:val="24"/>
          <w:vertAlign w:val="superscript"/>
        </w:rPr>
        <w:footnoteReference w:id="336"/>
      </w:r>
    </w:p>
    <w:p w14:paraId="39AAC073" w14:textId="0CF7A7FA"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Halkın temel referansı olduğunu söyleyerek empati ifadesine başvuran Sarkozy, burada kendi siyasi yöneliminin de bir yansıması olan cumhuriyetçi söylemi ortaya koymak suretiyle, kendisine toparlayıcı bir imaj biçerken, ifadesinde karşı tarafı “bölücü” olarak konumlandırmak istemektedir. Burada kastedilen </w:t>
      </w:r>
      <w:r w:rsidRPr="00E97E0B">
        <w:rPr>
          <w:rFonts w:ascii="Times" w:eastAsia="Calibri" w:hAnsi="Times" w:cs="Times New Roman"/>
          <w:sz w:val="24"/>
          <w:szCs w:val="24"/>
        </w:rPr>
        <w:lastRenderedPageBreak/>
        <w:t>bölücülük, Türkiye’de anlaşıldığı anlamda bir toprak bütünlüğüne işaret etmemektedir. Burada, kendisini toparlayıcı bir başkan olarak sunarken, karşı tarafta konumlandırdığı grupları tek tek sayarak hepsini ayrıştırıcı ve kutuplaştırıcı olarak konumlandırmış ve bunu kullandığı partizan ayrışmalar, etiket, nefret ve karmakarışık koalisyona karşı Fransız halkının birliği ifadeleriyle anlatmıştır. Kutuplaştırma ve karşı tarafı olumsuz gösterme ifadesinin burada kullanıldığı görülmektedir. Burada kastettiği karşı gruplar da anayasal anlamda Fransız halkının bir kısmını oluşturmaktadır. Böyle bir durumda, Fransız halkının tamamını, Fransız halkının bir kısmına karşı birleştirmiş oluyor ki bu yalnızca bir kutuplaştırma cümlesi değil, aynı zamanda mantıken imkânsız bir durumu tarif etmektedir. Burada Schmitt’in bahsettiği, günlük dilde sözcüklerin polemik karakterini hatırlatan bir durum söz konusudur.</w:t>
      </w:r>
      <w:r w:rsidRPr="00E97E0B">
        <w:rPr>
          <w:rFonts w:ascii="Times" w:eastAsia="Calibri" w:hAnsi="Times" w:cs="Times New Roman"/>
          <w:sz w:val="24"/>
          <w:szCs w:val="24"/>
          <w:vertAlign w:val="superscript"/>
        </w:rPr>
        <w:footnoteReference w:id="337"/>
      </w:r>
      <w:r w:rsidRPr="00E97E0B">
        <w:rPr>
          <w:rFonts w:ascii="Times" w:eastAsia="Calibri" w:hAnsi="Times" w:cs="Times New Roman"/>
          <w:sz w:val="24"/>
          <w:szCs w:val="24"/>
        </w:rPr>
        <w:t xml:space="preserve"> Fransız halkı ifadesi ile konuşmacı kendi tarafında olanları nesnel bir konuma ve çoğunluk konumuna taşıyarak hem meşruiyetini hem de dinleyici açısından siyasi yakınlığı artırıcı bir strateji izlemektedir. Zira burada halkın kaynağı olduğu meşruiyete dair bir ikna çabası söz konusudur. Burada çevrecilerin konumlanması açısından önemli olan kısım ise çevrecilerin karşı tarafta sol fraksiyonlardan bir örnek olarak anılmasıdır. Dahası, bu fraksiyonların bütününe bağnaz denerek, mantıksız ve körü körüne hareket eden bir grup olduğu kastedilmiştir. Entelektüel yoksunluk göndermesi yapan bu ifade, tam olarak bu tarz bir konuşma nedeniyle Hollande’ı ve ortaklarını ırkçılık ile suçlamasına neden olmuştu. Bu kesitte değer ve düşünceleri, etiketlerden daha önemli bir yere koyduğunu söyleyen konuşmacı, tam olarak bağnazlıkla suçladığı bu kesimin bu değerlerden yoksun olduğunu kastetmektedir; zira suçlaması aynı zamanda entelektüel özellikler üzerinden dillendirilmektedir. Burada yeşiller, Sosyalist Parti ve zaman zaman onlarla ittifaka giren yeşillerin konumunu yaklaşık olarak yan yana ve düşüncesizlikleriyle konumlandırmaktadır.</w:t>
      </w:r>
    </w:p>
    <w:p w14:paraId="66A5DBFC"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Konuşmadaki bir diğer ilginç nokta ise “bölücü” ya da “ayrıştrıcı” olarak itham ettiği ötekisini aynı paragraf içinde birleşmekle suçlamasıdır. Alıntının Türkçesinde karmakarışık olarak çevrilen ifadenin orijinali </w:t>
      </w:r>
      <w:r w:rsidRPr="00E97E0B">
        <w:rPr>
          <w:rFonts w:ascii="Times" w:eastAsia="Calibri" w:hAnsi="Times" w:cs="Times New Roman"/>
          <w:i/>
          <w:iCs/>
          <w:sz w:val="24"/>
          <w:szCs w:val="24"/>
        </w:rPr>
        <w:t>heteroklit</w:t>
      </w:r>
      <w:r w:rsidRPr="00E97E0B">
        <w:rPr>
          <w:rFonts w:ascii="Times" w:eastAsia="Calibri" w:hAnsi="Times" w:cs="Times New Roman"/>
          <w:sz w:val="24"/>
          <w:szCs w:val="24"/>
        </w:rPr>
        <w:t xml:space="preserve"> kelimesidir. Birbirine benzemeyenlerin bir araya gelmesini eleştirmekle, bütün Fransızları bir </w:t>
      </w:r>
      <w:r w:rsidRPr="00E97E0B">
        <w:rPr>
          <w:rFonts w:ascii="Times" w:eastAsia="Calibri" w:hAnsi="Times" w:cs="Times New Roman"/>
          <w:sz w:val="24"/>
          <w:szCs w:val="24"/>
        </w:rPr>
        <w:lastRenderedPageBreak/>
        <w:t xml:space="preserve">araya getirme iddiasını aynı yerde ve zamanda dile getirmesinden doğan çelişkiyi de kendi tarafını değer üzerinden birleşmek, karşı tarafı ise etiket üzerinden birleşmekle betimleyerek yapmaya çalışmaktadır. </w:t>
      </w:r>
    </w:p>
    <w:p w14:paraId="03F53515"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“…İşte bu yarının büyümesinin dünün büyümesine benzemeyeceğini fark etmektir. Bize hem siz hem de çocuklarınız için büyüme ve istihdam gerekiyor ama gezegenin dengesini kurban edemeyiz. Yarının büyümesi kalıcı olacaktır ya da hiç olmayacaktır. Ve çevrenin korunması yalnızca küçük bağnaz bir gruba aidiyet açısından çok fazla stratejik, çok fazla önemlidir. (İroni, Ötekini olumsuz gösterme) Hükümetin büyük oluşumlarının daha farklı bir üretim şeklinin gerekliliği konusunda ikna edilmesi gerekir…”.</w:t>
      </w:r>
      <w:r w:rsidRPr="00E97E0B">
        <w:rPr>
          <w:rFonts w:ascii="Times" w:eastAsia="Calibri" w:hAnsi="Times" w:cs="Times New Roman"/>
          <w:sz w:val="24"/>
          <w:szCs w:val="24"/>
          <w:vertAlign w:val="superscript"/>
        </w:rPr>
        <w:footnoteReference w:id="338"/>
      </w:r>
      <w:r w:rsidRPr="00E97E0B">
        <w:rPr>
          <w:rFonts w:ascii="Times" w:eastAsia="Calibri" w:hAnsi="Times" w:cs="Times New Roman"/>
          <w:sz w:val="24"/>
          <w:szCs w:val="24"/>
        </w:rPr>
        <w:t xml:space="preserve">  </w:t>
      </w:r>
    </w:p>
    <w:p w14:paraId="710214A2"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Bu kesitte Sarkozy yeşillerin konumunu ilginç bir şekilde bağnazlıkla sabitlemiştir. Buna ilave olarak, küçük sıfatı ile bu kesim önemsizleştirilmek de istenmiştir, ancak bu kesitte ilginç bir duruma rastlamaktayız. Yeşiller hakkında doğrudan bir değerlendirme yaptığı konuşma oldukça kısıtlı olmasına rağmen burada daha önceki konuşmalarında karşılaşılmayan bir özellik bulunmaktadır. Konuşma bağlamı Sarkozy’nin çevreci politikalar kapsamında projelerini açıklarken diğer taraftan da kısmen de olsa, yeşil siyasetin tasvip edebileceği, en azından karşı gelmeyeceği bazı ifadelerle devam etmektedir. Tam bu ifadelerin orta yerinde, yeşil siyaseti ironi ile, bağnazlıkla ve hizipçilikle suçlamakta, ardından kaldığı yerden konuşmasına devam etmektedir. Burada neden genel konuşma tarzının dışına çıktığı konusunda herhangi bir neden bulunamadığından, konuşma akışının tesadüfen bu şekilde geliştiği düşünülebilir.</w:t>
      </w:r>
    </w:p>
    <w:p w14:paraId="77DE78EB"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Genel anlamıyla yeşil siyaset Sarkozy’nin solda konumlandırdığı, ancak bir iki istisna dışında doğrudan tanımlamamayı ve sürekli bir öteki olarak konumlandırmayı tercih etmediği, bunu hem bu harekete dinamik kazandırmamak hem de herhangi bir oy kazandırmayacağı gibi kaybettirme riski de olan bir alan olarak görmesinden kaynaklandığı yorumu yapılabilir. </w:t>
      </w:r>
    </w:p>
    <w:p w14:paraId="2CD1C922" w14:textId="56D5DFB9" w:rsidR="002858AE" w:rsidRPr="00E97E0B" w:rsidRDefault="002858AE" w:rsidP="002B7FA9">
      <w:pPr>
        <w:pStyle w:val="Heading3"/>
      </w:pPr>
      <w:bookmarkStart w:id="182" w:name="_Toc141133110"/>
      <w:r w:rsidRPr="00E97E0B">
        <w:lastRenderedPageBreak/>
        <w:t>4.</w:t>
      </w:r>
      <w:r w:rsidR="008F6C47" w:rsidRPr="00E97E0B">
        <w:t>3</w:t>
      </w:r>
      <w:r w:rsidRPr="00E97E0B">
        <w:t>.4. Ulusal Cephe (FN)</w:t>
      </w:r>
      <w:bookmarkEnd w:id="182"/>
    </w:p>
    <w:p w14:paraId="071DD74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1972’den bu yana 2018’e kadar aynı isimle varlığını sürdüren aşırı sağ milliyetçi partinin bir önceki cumhurbaşkanı adayı Jean-Marie Le Pen, ilk defa 2002 seçiminde ikinci tura kalmış sonrasında da parti düzenli olarak oylarını yükseltmiştir. Nitekim Sarkozy’nin girdiği 2008 ve 2012 seçimleri dışında bundan sonraki seçimlerde sağın en büyük rakibi bu parti ve başkanı Marine Le Pen olmuştur. Bu nedenle, Fransız siyasetindeki değişimi yansıtması ve ağırlığı bakımından aşırı sağ ve Marine Le Pen etkisi önemli olan bir unsurdur.</w:t>
      </w:r>
    </w:p>
    <w:p w14:paraId="1ED85B91" w14:textId="77777777" w:rsidR="002858AE" w:rsidRPr="00E97E0B" w:rsidRDefault="002858AE" w:rsidP="002858AE">
      <w:pPr>
        <w:spacing w:before="120" w:after="120" w:line="240" w:lineRule="auto"/>
        <w:jc w:val="both"/>
        <w:rPr>
          <w:rFonts w:ascii="Times" w:eastAsia="Calibri" w:hAnsi="Times" w:cs="Times New Roman"/>
          <w:color w:val="FFFFFF"/>
          <w:sz w:val="24"/>
          <w:szCs w:val="24"/>
        </w:rPr>
      </w:pPr>
      <w:r w:rsidRPr="00E97E0B">
        <w:rPr>
          <w:rFonts w:ascii="Times" w:eastAsia="Calibri" w:hAnsi="Times" w:cs="Times New Roman"/>
          <w:sz w:val="24"/>
          <w:szCs w:val="24"/>
        </w:rPr>
        <w:t>“…Bize çok kötü bir seçim kampanyası gerçekleştirdiğini anlattıkları Bayan Le Pen ise %17,9’la bitirdi. (İroni) Bana François Hollande lehine ve benim aleyhime bir referandum olduğu söylendi. 27,28’le iki tane referandum olduğunu söylemek zor olur. Peki bu Fransızlar ne dediler? Marine Le Pen’e oy veren bu altı buçuk milyon Fransıza seslenmek istiyorum. (Empati İfadesi) 35 yıllık siyasi hayatımda asla hiç kimse ne yakından ne uzaktan benim yaptığım ile Ulusal Cephe arasında hiçbir yakınlık göremez, asla! Tüm siyasi liderler arasında Bay Le Pen’le hiç kuşkusuz en çok tartışmış olan benim. Bir siyasi oluşumun sorumlusu olarak asla en ufak bir anlaşmayı en ufak bir gizli uzlaşmayı kabul etmedim, asla! Ama hiç kimse, hiç kimse beni bu altı buçuk milyon Fransıza seslenmeme engel olamayacak çünkü onlara söyleyeceklerimiz var; onlara saygı duyulması, onların dikkate alınması, dinlenmesi ve hatta belki de bazen acılarının duyulması gerektiğini söyleyeceğiz… ”</w:t>
      </w:r>
      <w:r w:rsidRPr="00E97E0B">
        <w:rPr>
          <w:rFonts w:ascii="Times" w:eastAsia="Calibri" w:hAnsi="Times" w:cs="Times New Roman"/>
          <w:sz w:val="24"/>
          <w:szCs w:val="24"/>
          <w:vertAlign w:val="superscript"/>
        </w:rPr>
        <w:footnoteReference w:id="339"/>
      </w:r>
      <w:r w:rsidRPr="00E97E0B">
        <w:rPr>
          <w:rFonts w:ascii="Times" w:eastAsia="Calibri" w:hAnsi="Times" w:cs="Times New Roman"/>
          <w:sz w:val="24"/>
          <w:szCs w:val="24"/>
        </w:rPr>
        <w:t xml:space="preserve"> </w:t>
      </w:r>
    </w:p>
    <w:p w14:paraId="6D3D99EC"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 xml:space="preserve">Sarkozy’nin bu konuşma kesitinde Ulusal Cephe’yle ilgili konuşurken hem de aynı konuşma içerisinde farklı bir öteki konumlandırması olduğu görülmektedir. Burada ötekiye yaklaşım o kadar farklıdır ki ironi unsuru bir anda kayboluvermektedir. Bunun yerini empati ifadesinin alması dikkate değerdir. Her ne kadar Ulusal Birlik’in (FN) başkanı ve eski başkanı hakkında onlarla asla gizli bir anlaşma veya uzlaşmaya gitmediğini vurgulu bir şekilde dile getirse de onunla en çok tartışan lider olma özelliğini belirtmiştir. Bu söz, bir taraftan daha solda ve merkezde kalan potansiyel seçmen tarafından onlarla en fazla çatışmış olduğu izlenimini verse de ve onları aşırılık olarak işaret etse de diğer taraftan Ulusal Birlik seçmeni açısından onları en fazla muhatap alan lider olduğu şeklinde yorumlanmaya müsait bir ifadedir. Bu ifade, bir taraftan görece yakın olduğu aşırı sağ seçmenini çekmeyi, diğer taraftan da solda kalan seçmenin potansiyel oylarını küstürmemeyi hedefliyor görünmektedir. Bununla birlikte, burada hem lider hem de seçmene yaklaşım bakımından oldukça ciddi bir fark olduğu düşünülmektedir ve öteki konumlandırması açısından çok daha yakın bir konuma işaret etmektedir. İroni, Held’e göre iki ayrık ve mesafe içeren unsuru zıtlık içinde en uzlaşmaz ve sert biçimde konumlandırılmasıdır. </w:t>
      </w:r>
      <w:r w:rsidRPr="00E97E0B">
        <w:rPr>
          <w:rFonts w:ascii="Times" w:eastAsia="Calibri" w:hAnsi="Times" w:cs="Times New Roman"/>
          <w:sz w:val="24"/>
          <w:szCs w:val="24"/>
          <w:vertAlign w:val="superscript"/>
        </w:rPr>
        <w:footnoteReference w:id="340"/>
      </w:r>
      <w:r w:rsidRPr="00E97E0B">
        <w:rPr>
          <w:rFonts w:ascii="Times" w:eastAsia="Calibri" w:hAnsi="Times" w:cs="Times New Roman"/>
          <w:sz w:val="24"/>
          <w:szCs w:val="24"/>
        </w:rPr>
        <w:t xml:space="preserve"> Bu antitez sahası, Schaerer’e göre ben-sen gibi en temel unsuruları karşılaştırıldığı bir yerdir.</w:t>
      </w:r>
      <w:r w:rsidRPr="00E97E0B">
        <w:rPr>
          <w:rFonts w:ascii="Times" w:eastAsia="Calibri" w:hAnsi="Times" w:cs="Times New Roman"/>
          <w:sz w:val="24"/>
          <w:szCs w:val="24"/>
          <w:vertAlign w:val="superscript"/>
        </w:rPr>
        <w:footnoteReference w:id="341"/>
      </w:r>
      <w:r w:rsidRPr="00E97E0B">
        <w:rPr>
          <w:rFonts w:ascii="Times" w:eastAsia="Calibri" w:hAnsi="Times" w:cs="Times New Roman"/>
          <w:sz w:val="24"/>
          <w:szCs w:val="24"/>
        </w:rPr>
        <w:t xml:space="preserve"> Ayrıca Bakhtine ironinin toplumsal çatışma unsuruyla şekillendiğini belirtmektedir.</w:t>
      </w:r>
      <w:r w:rsidRPr="00E97E0B">
        <w:rPr>
          <w:rFonts w:ascii="Times" w:eastAsia="Calibri" w:hAnsi="Times" w:cs="Times New Roman"/>
          <w:sz w:val="24"/>
          <w:szCs w:val="24"/>
          <w:vertAlign w:val="superscript"/>
        </w:rPr>
        <w:footnoteReference w:id="342"/>
      </w:r>
      <w:r w:rsidRPr="00E97E0B">
        <w:rPr>
          <w:rFonts w:ascii="Times" w:eastAsia="Calibri" w:hAnsi="Times" w:cs="Times New Roman"/>
          <w:sz w:val="24"/>
          <w:szCs w:val="24"/>
        </w:rPr>
        <w:t xml:space="preserve"> Bunun biz ve onlar ayrımına uyarlanmasında da herhangi bir sakınca olmadığı düşünülmektedir. İroni bu noktada, çatışmanın ayyuka çıktığı bir form olarak kendisini göstermektedir. Sarkozy, fikren katılmadığını açıkça belirtse de ironi unsurunu kesinlikle yöneltmediği FN liderlerine çok daha saygılı bir yaklaşımın yanında, seçmeni için onların yok sayılamayacağı ve onlarla iletişime açık olduğu mesajını açıktan </w:t>
      </w:r>
      <w:r w:rsidRPr="00E97E0B">
        <w:rPr>
          <w:rFonts w:ascii="Times" w:eastAsia="Calibri" w:hAnsi="Times" w:cs="Times New Roman"/>
          <w:sz w:val="24"/>
          <w:szCs w:val="24"/>
        </w:rPr>
        <w:lastRenderedPageBreak/>
        <w:t>vermektedir. Bununla birlikte, Sarkozy seçimlerde göçmen politikası ve söylemi üzerinden de özellikle ikinci turda kazanmaya çalıştığı Ulusal Birlik seçmenine ulaşabilmiş ve kısmen oyunu almıştır; ama bu durum tamamen lehine gelişmemiştir. Bu söyleme rağmen Sarkozy, boş oy vereceğini ilan eden Le Pen’in açık desteğini alamamış ve seçimi de Hollande’a kaybetmiştir.</w:t>
      </w:r>
      <w:r w:rsidRPr="00E97E0B">
        <w:rPr>
          <w:rFonts w:ascii="Times" w:eastAsia="Calibri" w:hAnsi="Times" w:cs="Times New Roman"/>
          <w:sz w:val="24"/>
          <w:szCs w:val="24"/>
          <w:vertAlign w:val="superscript"/>
        </w:rPr>
        <w:footnoteReference w:id="343"/>
      </w:r>
      <w:r w:rsidRPr="00E97E0B">
        <w:rPr>
          <w:rFonts w:ascii="Times" w:eastAsia="Calibri" w:hAnsi="Times" w:cs="Times New Roman"/>
          <w:sz w:val="24"/>
          <w:szCs w:val="24"/>
        </w:rPr>
        <w:t xml:space="preserve"> </w:t>
      </w:r>
    </w:p>
    <w:p w14:paraId="6F46E12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Müslüman ve Afrikalı kimlik mensuplarıyla ilgili oldukça eleştirel ve hatta sert bir dil kullansa da Sarkozy, sol cenaha yüklendiği kadar ağır sözleri bu gruplar için dillendirmemiştir. Konuşmalarında, Müslüman ve Afrikalı kategoriler dahil, etnik ve kültürel gruplara karşı ironi unsurunun azlığı dikkat çekmektedir. Zaman zaman gerek seçime bağlı stratejik sebeplerle gerek ideolojik yaklaşım nedeniyle, ima yoluyla ya da doğrudan farklılıklarını zaman zaman ön plana çıkarsa da konuşmalarında onlara yönelik bir ironiye pek başvurmamaktadır. Bununla birlikte, ötekileştirme, kutuplaştırma, ötekini kötü gösterme gibi benzer söylemsel ötekileştirme kategorilerine sık sık başvurduğu görülmektedir. İroninin ve alaycılığın en sert ötekileştirme unsuru olması, siyasi lider olarak farklı etnik unsurları dışlamanın politik bedelinin ırkçılıkla itham edilmek ihtimali ve ideolojik ayrışmalarda bu denli bir suçlamanın daha zor olmasından ötürü, Sarkozy’nin bu türden ihtiyatlı bir söylem stratejisi izlediği düşünülmektedir.  </w:t>
      </w:r>
    </w:p>
    <w:p w14:paraId="0D3971A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Benzer bir şekilde Marine Le Pen için kullanılan ironi unsuru aralarındaki temsiliyet yarışıyla ilgili meselelerle kısıtlı kalmış gibi görünmektedir.  Genel olarak Sarkozy’nin FN veya Le Pen için kullandığı ironi unsurunun yok denecek kadar az olmasının nedenini ideolojik yakınlık ve benzer seçmen profiline sahip olmakla açıklamak mümkündür. Dahası Le Pen’in seçmeni onun için öteki olmanın sınırındadır, hatta neredeyse iç grupta konumlanmış gibidir. Sarkozy bu kesitte kendisini Le Pen’den ayrıştırmakla birlikte onunla en çok tartışan kişi olarak onun seçmenine yakın olduğunun mesajını verdiği gibi seçmenine saygı duyduğunu ve onları ikna etmek istediğini söyleyerek bir yakınlık mesajı verme çabasındadır.</w:t>
      </w:r>
    </w:p>
    <w:p w14:paraId="6FCA330A" w14:textId="77777777"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xml:space="preserve">“…Bay Hollande ile benim aramızda bir fark var. (Mesafe Koyma) İlk turun akşamında Bay Hollande burnuna mandal takıp bu Fransızlara: ‘Aman Tanrım, bu nasıl bir koku!’ dedi. (Kutuplaştırma) Bay Hollande’a hatırlatırım, ırkçılığa karşı </w:t>
      </w:r>
      <w:r w:rsidRPr="00E97E0B">
        <w:rPr>
          <w:rFonts w:ascii="Times" w:eastAsia="Calibri" w:hAnsi="Times" w:cs="Times New Roman"/>
          <w:sz w:val="24"/>
          <w:szCs w:val="24"/>
        </w:rPr>
        <w:lastRenderedPageBreak/>
        <w:t>olunduğunda tüm ırkçılıklara karşı olunur, buna sol haricindekilere karşı yapıldığında da ırkçılığa karşı olmak dahildir. Bu seçmenleri hor görmek ırkçılığın bir başka şeklidir. (Ötekini Olumsuz Gösterme) Onları düşünce yoksunu insanlar olarak görmek bir hakarettir. Cumhuriyetin izin verdiği adaylardan birine oy verdikleri halde bu tercihin kınanabileceğini düşünmek hoşgörülemeyecek bir kendini beğenmişliktir. (Ötekini Olumsuz Gösterme) Benim yaşamadığım mahallelerde yaşayan ve çocuklarını benim çocuklarımı gönderdiğim okullara göndermeyen insanlara ders vermeyeceğim. Ben onlara ders verme hakkını kendimde görmüyorum çünkü kendi yaşam koşullarımdan farklı yaşam koşullarına saygılıyım. (Empati İfadesi) İşte buna cumhuriyetçi olmak denir…”</w:t>
      </w:r>
      <w:r w:rsidRPr="00E97E0B">
        <w:rPr>
          <w:rFonts w:ascii="Times" w:eastAsia="Calibri" w:hAnsi="Times" w:cs="Times New Roman"/>
          <w:sz w:val="24"/>
          <w:szCs w:val="24"/>
          <w:vertAlign w:val="superscript"/>
        </w:rPr>
        <w:footnoteReference w:id="344"/>
      </w:r>
    </w:p>
    <w:p w14:paraId="2CF6DCA2" w14:textId="41541D02" w:rsidR="002858AE" w:rsidRPr="00E97E0B" w:rsidRDefault="002858AE" w:rsidP="00EC2174">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 xml:space="preserve">“…Bazı açılamayan konular var, ben de bu konuda sizin dikkat etmenizi sağlamak istiyorum. Cumhuriyetçi sağ ve merkez, Fransızların endişe duydukları konularda her ortaya çıkmadıklarında, meydanı en iyi ihtimalle varlık göstermemeye en kötü ihtimalle de aşırılığa bırakmış oluyorlar. (Kanıtsallık) Eğer biz cumhuriyetçiler gelecek beş yılda Fransızlar için hassas olan mevzularda ne yapacağımızı güçlü bir şekilde söyleyemiyorsak, insanların bize güvenmesini nasıl bekleyebiliriz, kendilerini nasıl aramızdan birileri gibi görebilirler?” </w:t>
      </w:r>
      <w:r w:rsidRPr="00E97E0B">
        <w:rPr>
          <w:rFonts w:ascii="Times" w:eastAsia="Calibri" w:hAnsi="Times" w:cs="Times New Roman"/>
          <w:sz w:val="24"/>
          <w:szCs w:val="24"/>
          <w:vertAlign w:val="superscript"/>
        </w:rPr>
        <w:footnoteReference w:id="345"/>
      </w:r>
    </w:p>
    <w:p w14:paraId="157AEB0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lastRenderedPageBreak/>
        <w:t>Sarkozy, Ulusal Cephe’nin gündemindeki göç gibi, pek çok konuyu dürüstlük ve açıklık argümanını kullanarak açmakta ve dolayısıyla hem yaklaşım hem tespit ettiği sorunlar bağlamında, retorik ve yoğunlukla ilgili nüanslar dışında Ulusal Birlik seçmenine esasen kendisini çok da uzakta konumlandırmamaya gayret göstermektedir.</w:t>
      </w:r>
      <w:r w:rsidRPr="00E97E0B">
        <w:rPr>
          <w:rFonts w:ascii="Times" w:eastAsia="Calibri" w:hAnsi="Times" w:cs="Times New Roman"/>
          <w:sz w:val="24"/>
          <w:szCs w:val="24"/>
          <w:vertAlign w:val="superscript"/>
        </w:rPr>
        <w:footnoteReference w:id="346"/>
      </w:r>
      <w:r w:rsidRPr="00E97E0B">
        <w:rPr>
          <w:rFonts w:ascii="Times" w:eastAsia="Calibri" w:hAnsi="Times" w:cs="Times New Roman"/>
          <w:sz w:val="24"/>
          <w:szCs w:val="24"/>
        </w:rPr>
        <w:t xml:space="preserve"> Konuşulamayanın kendisi tarafından konuşulmasına cesaret edilmesi, güçlü bir imajı destekliyor olsa da konuşulamayandan kasıt yoksullaşma, göç, sağ eğilimlerin güç kazanması konularına, ekonomik ve siyasi faydacılık ve rasyonalite görünümü altında kültürcü ve otoriter bir tarz ve yaklaşımı savunmaktadır. Bu da stratejik olarak Ulusal Cephe seçmenini hem kültürel hem de siyasi yönlerden cezbetmeye yöneliktir. Kanıtsallığa başvurarak, toplumun geriye kalan kısmında Ulusal Cephe ve seçmenine karşı gelişen yaygın antipati ortamında Sarkozy, Marine Le Pen’in oylarına en azından bir kısmına karşı “onları anlamaya çalışan” ve “el uzatan” bir imaj çizerek empati ve yakınlık oluşturmaya çalışmıştır, denebilir. Benzer bir empatiyi genelde sol seçmene karşı göstermemiş olması da söylemsel stratejisini anlamak bakımından dikkate değerdir, zira halihazırda gerek ideolojik bakımdan gerek seçmen kitlesinin oransal dağılımı açısından, merkez sağ yönelimli bir liderin de bu türlü bir stratejiyi benimsemesi beklenebilir. </w:t>
      </w:r>
    </w:p>
    <w:p w14:paraId="674D3C44" w14:textId="77777777" w:rsidR="00170CD3" w:rsidRDefault="002858AE" w:rsidP="002858AE">
      <w:pPr>
        <w:spacing w:before="120" w:after="120" w:line="360" w:lineRule="auto"/>
        <w:ind w:firstLine="720"/>
        <w:jc w:val="both"/>
        <w:rPr>
          <w:rFonts w:ascii="Times" w:eastAsia="Calibri" w:hAnsi="Times" w:cs="Times New Roman"/>
          <w:sz w:val="24"/>
          <w:szCs w:val="24"/>
        </w:rPr>
        <w:sectPr w:rsidR="00170CD3" w:rsidSect="006A073C">
          <w:pgSz w:w="11906" w:h="16838"/>
          <w:pgMar w:top="1418" w:right="1701" w:bottom="1418" w:left="2268" w:header="720" w:footer="720" w:gutter="0"/>
          <w:cols w:space="720"/>
          <w:docGrid w:linePitch="360"/>
        </w:sectPr>
      </w:pPr>
      <w:r w:rsidRPr="00E97E0B">
        <w:rPr>
          <w:rFonts w:ascii="Times" w:eastAsia="Calibri" w:hAnsi="Times" w:cs="Times New Roman"/>
          <w:sz w:val="24"/>
          <w:szCs w:val="24"/>
        </w:rPr>
        <w:t xml:space="preserve">Sarkozy, öncelikle Hollande’ı ve sol ittifakı, Le Pen ve seçmenini bir arada andığından, bu kesit öteki konumlanmalarını net bir şekilde görmek açısından önem kazanmaktadır. Fransa’da solun en çok ırkçılıkla bağdaştırdığı siyasi akım olan aşırı sağın, ırkçılığa sol tarafından maruz kaldığını söyleyerek gerçeklik algısını ters düz edecek bir söylem ortaya koymaktadır. Psikolojik açıdan potansiyel etkisi düşünüldüğünde, sol siyaseti ikiyüzlülükle, taraf tutmakla, ayrımcılık yapmakla ve Fransız halkına tepeden bakmakla itham eden bir dil kullanılarak Ulusal Cephe seçmeninin iç gruba yakınlığını ve sol siyasetin dış gruptaki yerini vurgulamaktadır. </w:t>
      </w:r>
    </w:p>
    <w:p w14:paraId="0F5F77F1" w14:textId="77777777" w:rsidR="002858AE" w:rsidRPr="00E97E0B" w:rsidRDefault="002858AE" w:rsidP="00ED4B64">
      <w:pPr>
        <w:keepNext/>
        <w:keepLines/>
        <w:spacing w:before="1800" w:after="360" w:line="360" w:lineRule="auto"/>
        <w:jc w:val="center"/>
        <w:outlineLvl w:val="0"/>
        <w:rPr>
          <w:rFonts w:ascii="Times New Roman" w:eastAsia="Times New Roman" w:hAnsi="Times New Roman" w:cs="Times New Roman"/>
          <w:b/>
          <w:color w:val="000000"/>
          <w:sz w:val="28"/>
          <w:szCs w:val="32"/>
        </w:rPr>
      </w:pPr>
      <w:bookmarkStart w:id="186" w:name="_Toc141133111"/>
      <w:r w:rsidRPr="00E97E0B">
        <w:rPr>
          <w:rFonts w:ascii="Times New Roman" w:eastAsia="Times New Roman" w:hAnsi="Times New Roman" w:cs="Times New Roman"/>
          <w:b/>
          <w:color w:val="000000"/>
          <w:sz w:val="28"/>
          <w:szCs w:val="32"/>
        </w:rPr>
        <w:lastRenderedPageBreak/>
        <w:t>BÖLÜM 5</w:t>
      </w:r>
      <w:bookmarkEnd w:id="186"/>
    </w:p>
    <w:p w14:paraId="5C891803" w14:textId="77777777" w:rsidR="002858AE" w:rsidRPr="00E97E0B" w:rsidRDefault="002858AE" w:rsidP="00ED4B64">
      <w:pPr>
        <w:keepNext/>
        <w:keepLines/>
        <w:spacing w:before="240" w:after="360" w:line="360" w:lineRule="auto"/>
        <w:jc w:val="center"/>
        <w:outlineLvl w:val="0"/>
        <w:rPr>
          <w:rFonts w:ascii="Times" w:eastAsia="Times New Roman" w:hAnsi="Times" w:cs="Times New Roman"/>
          <w:b/>
          <w:color w:val="000000"/>
          <w:sz w:val="28"/>
          <w:szCs w:val="32"/>
        </w:rPr>
      </w:pPr>
      <w:bookmarkStart w:id="187" w:name="_Toc141133112"/>
      <w:r w:rsidRPr="00E97E0B">
        <w:rPr>
          <w:rFonts w:ascii="Times New Roman" w:eastAsia="Times New Roman" w:hAnsi="Times New Roman" w:cs="Times New Roman"/>
          <w:b/>
          <w:color w:val="000000"/>
          <w:sz w:val="28"/>
          <w:szCs w:val="32"/>
        </w:rPr>
        <w:t>RECEP TAYYİP ERDOĞAN’IN 2007-2012 YILARI ARASINDAKİ SÖYLEMLERİNDEKİ ÜLKE İÇİ ETNİK KÜLTÜREL VE SİYASİ ÖTEKİNİN ANALİZİ</w:t>
      </w:r>
      <w:bookmarkEnd w:id="187"/>
    </w:p>
    <w:p w14:paraId="126B2587" w14:textId="57730CC8" w:rsidR="002858AE" w:rsidRPr="00E97E0B" w:rsidRDefault="002858AE" w:rsidP="0067740E">
      <w:pPr>
        <w:pStyle w:val="Heading2"/>
      </w:pPr>
      <w:bookmarkStart w:id="188" w:name="_Toc141133113"/>
      <w:r w:rsidRPr="00E97E0B">
        <w:t>5.</w:t>
      </w:r>
      <w:r w:rsidR="00D5761C" w:rsidRPr="00E97E0B">
        <w:t>1</w:t>
      </w:r>
      <w:r w:rsidRPr="00E97E0B">
        <w:t>. Recep Tayyip Erdoğan (2007-2012)</w:t>
      </w:r>
      <w:bookmarkEnd w:id="188"/>
    </w:p>
    <w:p w14:paraId="338B57E1"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Recep Tayyip Erdoğan’ın başkanı olduğu Ak Parti, siyasi olarak öncesinde art arda gelmiş olan koalisyon hükümetlerinin açmazları ve buna bağlı olan ekonomik istikrarsızlıklar nedeniyle ilk olarak iktidar olduğu 2002 seçimlerinde, Türkiye’de yeni kurulan bir parti için oldukça yüksek bir oy oranıyla siyasi sahneye adımını atmıştır. Aldığı oy oranına nispetle (%35), dönemin parlamenter sistemindeki Meclis içinde yüksek oranda (%66) bir sandalye sayısı (363) elde etmiştir.</w:t>
      </w:r>
      <w:r w:rsidRPr="00E97E0B">
        <w:rPr>
          <w:rFonts w:ascii="Times" w:eastAsia="Calibri" w:hAnsi="Times" w:cs="Times New Roman"/>
          <w:sz w:val="24"/>
          <w:szCs w:val="24"/>
          <w:vertAlign w:val="superscript"/>
        </w:rPr>
        <w:footnoteReference w:id="347"/>
      </w:r>
      <w:r w:rsidRPr="00E97E0B">
        <w:rPr>
          <w:rFonts w:ascii="Times" w:eastAsia="Calibri" w:hAnsi="Times" w:cs="Times New Roman"/>
          <w:sz w:val="24"/>
          <w:szCs w:val="24"/>
        </w:rPr>
        <w:t xml:space="preserve"> Ak Parti’nin bu dönemde kendi siyasi yaklaşımını ortaya koyabilmesi bakımından, siyasal sistemde varlığını pekiştirmesi zaman almıştır.  Bu doğrultuda, ilk dönemlerinde siyaseten çok daha geniş kitleleri kucaklayıcı ve aynı zamanda uzlaşmacı bir söylemi kullandığını söylemek mümkündür. Bu nedenle, çalışmada bu ilk dönemin değil, bundan sonraki ikinci yasama seçimi döneminin siyasal söylemindeki öteki konumlandırmalarının üzerinde durulmuştur. İkinci yasama seçimi dönemi, neredeyse tam olarak yarıparlamenter sistemdeki Fransa’da dönemdaşı olan Nicolas Sarkozy’nin cumhurbaşkanı olduğu döneme denk gelmektedir. Böylece karşılaştırılan liderlerin dönemsel olarak da kesişmeleri bakımından bu dönemin seçilmesinin yerinde olduğu düşünülmektedir. Ayrıca, Recep Tayyip Erdoğan, Ak Parti’nin oldukça güçlendiği ve gücünü pekiştirdiği bir dönemde başbakanlık yapmakla birlikte, halihazırda Cumhurbaşkanı Abdullah Gül de aynı partiden geldiğinden, siyasi olarak görece </w:t>
      </w:r>
      <w:r w:rsidRPr="00E97E0B">
        <w:rPr>
          <w:rFonts w:ascii="Times" w:eastAsia="Calibri" w:hAnsi="Times" w:cs="Times New Roman"/>
          <w:sz w:val="24"/>
          <w:szCs w:val="24"/>
        </w:rPr>
        <w:lastRenderedPageBreak/>
        <w:t>iktidar yarışında daha rahat bir döneme geçmiştir. Siyasi iktidarının görece pekiştiği sonraki seçim dönemlerinde ise artık Erdoğan’ın “Türk Tipi Başkanlık” sistemi olarak adlandırdığı</w:t>
      </w:r>
      <w:r w:rsidRPr="00E97E0B">
        <w:rPr>
          <w:rFonts w:ascii="Times" w:eastAsia="Calibri" w:hAnsi="Times" w:cs="Times New Roman"/>
          <w:sz w:val="24"/>
          <w:szCs w:val="24"/>
          <w:vertAlign w:val="superscript"/>
        </w:rPr>
        <w:footnoteReference w:id="348"/>
      </w:r>
      <w:r w:rsidRPr="00E97E0B">
        <w:rPr>
          <w:rFonts w:ascii="Times" w:eastAsia="Calibri" w:hAnsi="Times" w:cs="Times New Roman"/>
          <w:sz w:val="24"/>
          <w:szCs w:val="24"/>
        </w:rPr>
        <w:t xml:space="preserve"> başkanlık sistemine geçiş sürecini ve başkanlık sistemi yılları bu çalışmaya dahil edilmemiştir. Türkiye’de hem ülke siyaseti üzerindeki etkisi hem de icraacı konumu nedeniyle, dönemin başbakanı Erdoğan’ın söyleminin incelemenmesi, cumhurbaşkanı Gül’ün söylemine tercih edilmiştir. Zira Fransa’da sistem değişmediğinden, anayasal düzen itibariyle cumhurbaşkanının merkezi konumda olması nedeniyle ve aynı merkezi konum da Türkiye’de başbakan için geçerli olduğundan, Erdoğan’ın söylemi bu çalışma kapsamında uygun bulunmuştur.</w:t>
      </w:r>
    </w:p>
    <w:p w14:paraId="03B7102F"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Türkiye, siyasetçilerinin yaptıkları açıklama ve konuşmalarının yoğunluğu bakımından gündemi oldukça yoğun bir ülkedir. Fransa da gündem yoğunluğu bakımından benzer özelliklere sahip olduğundan, incelenen dönemin sınırlanması gerektiği düşünülmüştür. Bununla birlikte, dönemin başbakanı olan Recep Tayyip Erdoğan’ın 2014’ten itibaren cumhurbaşkanı olması, siyasal yapının başkanlık sistemine evrilmeye başlaması ve bu dönüşümün 2017’deki son anayasa referandumunda tamamlanması söz konusu olmuştur. Cumhurbaşkanlığı ve başbakanlık mevkilerinin varlığı ve niteliği bakımından 2014-2017 aralığının bir geçiş dönemi olduğu anlaşılmaktadır. </w:t>
      </w:r>
    </w:p>
    <w:p w14:paraId="20F48C74" w14:textId="065420C6"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İnceleme konusunun kapsamına giren 2007-2011 dönemi, erken seçim yapılmaksızın tamamlanabilen bir iktidar dönemidir. İktidarın hem cumhurbaşkanlığını hem başbakanlığı kazanarak iktidar alanını oldukça genişlettiği ve aynı zamanda, Kürt açılımı, demokratik açılım ve AB ile ilişkilerdeki atılan adımların arttığı bir dönemdir. Ak Parti ve Erdoğan’ın iktidarlarının iyice güçlendiği bu ilk dönemin,Erdoğan siyasetinin özgürlükçü bir paradigmaya sahip olduğu; fakat daha sonra 2013 Gezi Olayları, 17-25 Aralık 2013 Yolsuzluk ve Rüşvet Operasyonu, Çözüm Süreci’nin 2015 yazında sona ermesi gibi güvenlikçi bir siyaset eksinene yöneleceği</w:t>
      </w:r>
      <w:r w:rsidRPr="00E97E0B">
        <w:rPr>
          <w:rFonts w:ascii="Times" w:eastAsia="Calibri" w:hAnsi="Times" w:cs="Times New Roman"/>
          <w:sz w:val="24"/>
          <w:szCs w:val="24"/>
          <w:vertAlign w:val="superscript"/>
        </w:rPr>
        <w:footnoteReference w:id="349"/>
      </w:r>
      <w:r w:rsidRPr="00E97E0B">
        <w:rPr>
          <w:rFonts w:ascii="Times" w:eastAsia="Calibri" w:hAnsi="Times" w:cs="Times New Roman"/>
          <w:sz w:val="24"/>
          <w:szCs w:val="24"/>
        </w:rPr>
        <w:t xml:space="preserve"> önemli siyasal kırılma noktalarından öncesini kapsıyor olması</w:t>
      </w:r>
      <w:r w:rsidR="00B172B6" w:rsidRPr="00E97E0B">
        <w:rPr>
          <w:rFonts w:ascii="Times" w:eastAsia="Calibri" w:hAnsi="Times" w:cs="Times New Roman"/>
          <w:sz w:val="24"/>
          <w:szCs w:val="24"/>
        </w:rPr>
        <w:t xml:space="preserve"> </w:t>
      </w:r>
      <w:r w:rsidRPr="00E97E0B">
        <w:rPr>
          <w:rFonts w:ascii="Times" w:eastAsia="Calibri" w:hAnsi="Times" w:cs="Times New Roman"/>
          <w:sz w:val="24"/>
          <w:szCs w:val="24"/>
        </w:rPr>
        <w:t>nedeniyle iktidarın ve temsilcisi Erdoğan’ın siyasi ve toplumsal aktör ve gruplara olan bakışını daha berrak bir şekilde yansıttığı düşünülmektedir.</w:t>
      </w:r>
      <w:r w:rsidR="00B172B6" w:rsidRPr="00E97E0B">
        <w:rPr>
          <w:rFonts w:ascii="Times" w:eastAsia="Calibri" w:hAnsi="Times" w:cs="Times New Roman"/>
          <w:sz w:val="24"/>
          <w:szCs w:val="24"/>
        </w:rPr>
        <w:t xml:space="preserve"> </w:t>
      </w:r>
      <w:r w:rsidRPr="00E97E0B">
        <w:rPr>
          <w:rFonts w:ascii="Times" w:eastAsia="Calibri" w:hAnsi="Times" w:cs="Times New Roman"/>
          <w:sz w:val="24"/>
          <w:szCs w:val="24"/>
        </w:rPr>
        <w:t xml:space="preserve">Bu nedenle ve çalışmada </w:t>
      </w:r>
      <w:r w:rsidRPr="00E97E0B">
        <w:rPr>
          <w:rFonts w:ascii="Times" w:eastAsia="Calibri" w:hAnsi="Times" w:cs="Times New Roman"/>
          <w:sz w:val="24"/>
          <w:szCs w:val="24"/>
        </w:rPr>
        <w:lastRenderedPageBreak/>
        <w:t xml:space="preserve">karşılaştırılan dönemin, karşılaştırma konusu olan Nicolas Sarkozy’nin cumhurbaşkanlığı dönemiyle de örtüşmesi nedeniyle 2007-2012 aralığının incelenmesi uygun görülmüştür. </w:t>
      </w:r>
    </w:p>
    <w:p w14:paraId="60BD0C8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Burada belirtilmesi gereken bir başka önemli unsur, Ak Parti ve Recep Tayyip Erdoğan’ın iktidar sürelerinin oldukça uzun olmasıdır. Bu uzun iktidar dönemi, Türkiye gibi sosyal ve politik hareketliliğin ve değişimlerin Avrupa ve ülkelerinin çoğunluğuna ve Fransa’ya nispetle çok daha fazla olduğu, dolayısıyla siyasi olarak daha az istikrarlı olduğu kabul edebilebilecek bir ülke için şaşırtıcı bir durumdur. Bu uzunluğun nedenleri ayrı bir çalışma konusu olmakla birlikte Ak Parti’nin ve Recep Tayyip Erdoğan’ın değişen dengelere uyum sağlama ve iktidarı korumak için yeterli sayıda seçmen nezdinde tercih edilir olma konusundaki başarısının bu uzun soluklu siyasette önemli bir payı olduğu düşünülmektedir. Ancak bu başarı, siyasi olarak sık ve keskin değişimleri beraberinde getirdiğinden, eski ittifakların yerini yenileri almakta, farklı kesimlere farklı dönemlerde çelişen mesafelerde olmayı gerektirmektedir. Bu nedenle, Erdoğan’ın yalnızca 2007-2012 dönemindeki siyasi konumu ve söylemindeki konumlandırma bu araştırmanın kapsamını oluşturmaktadır. Zira tüm dönemlerini ve sabit kaldığı ve değiştirdiği konumları apayrı bir çalışma alanı ve konusu olarak değerlendirilebilir. </w:t>
      </w:r>
    </w:p>
    <w:p w14:paraId="4F95FDA4"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Ak Parti’nin kuruluşundan şu ana kadar gelinen 20 yıldan bu yana, ekonomi anlayışı bakımından neoliberal, siyasi olarak dindar-muhafazakâr ve merkeziyetçi konumu pek değişmemekle birlikte, demokrasi, toplumsal özgürlükler, insan hakları, sosyal devlet, milliyetçilik, Kürt sorunu, Alevi sorunu gibi pek çok meseleyle ilgili dönemin siyasi dinamiklerine yönelik konum alışları oldukça belirgindir. Bu nedenle, söylemlerindeki değişimin değerlendirilmesi yerine, belirli bir dönemdeki söylemleri bu araştırmada ele alınmıştır. </w:t>
      </w:r>
    </w:p>
    <w:p w14:paraId="483066AD"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2000’lerden beri Türkiye ve Fransa’da sağ ve merkez sağ ağırlıklı partilerin iktidarda olduğu uzun bir dönem yaşanmaktadır. Yalnızca, Fransa’da 2012-2017 yılları arasındaki Sosyalist Parti (PS) dönemi bir istisnadır. Öte yandan, Türkiye’de bu durumun istisnası olmadığı gibi Fransa’nın aksine iktidardaki sağ liderin bu dönemden beri değişmediği görülmektedir.  Türkiye’den farklı olarak Fransa ise iktidarın 2012-2017 arasındaki Sosyalist Parti istisnası dışında merkez sağda kaldığı, bununla birlikte yalnızca Emanuel Macron’un 2017’den beri ikinci kez seçilebildiği bir ülkedir. </w:t>
      </w:r>
      <w:r w:rsidRPr="00E97E0B">
        <w:rPr>
          <w:rFonts w:ascii="Times" w:eastAsia="Calibri" w:hAnsi="Times" w:cs="Times New Roman"/>
          <w:sz w:val="24"/>
          <w:szCs w:val="24"/>
        </w:rPr>
        <w:lastRenderedPageBreak/>
        <w:t xml:space="preserve">Ayrıca, Fransa’da son yirmi yılda iktidar olan merkez sağ partilerher seçim değişmiş, hatta liderleri arasında parti içinde sık sık mücadele yaşanmıştır. </w:t>
      </w:r>
    </w:p>
    <w:p w14:paraId="03DFDC7C" w14:textId="771A2C0B" w:rsidR="002858AE" w:rsidRPr="00E97E0B" w:rsidRDefault="002858AE" w:rsidP="0019121A">
      <w:pPr>
        <w:pStyle w:val="Heading2"/>
      </w:pPr>
      <w:bookmarkStart w:id="189" w:name="_Toc141133114"/>
      <w:r w:rsidRPr="00E97E0B">
        <w:t>5.</w:t>
      </w:r>
      <w:r w:rsidR="00787E4C" w:rsidRPr="00E97E0B">
        <w:t>2</w:t>
      </w:r>
      <w:r w:rsidRPr="00E97E0B">
        <w:t xml:space="preserve">. </w:t>
      </w:r>
      <w:r w:rsidR="00A663CD" w:rsidRPr="00E97E0B">
        <w:t xml:space="preserve">Öteki Olarak </w:t>
      </w:r>
      <w:r w:rsidRPr="00E97E0B">
        <w:t>Etnik</w:t>
      </w:r>
      <w:r w:rsidR="00787E4C" w:rsidRPr="00E97E0B">
        <w:t xml:space="preserve"> ve</w:t>
      </w:r>
      <w:r w:rsidRPr="00E97E0B">
        <w:t xml:space="preserve"> Toplumsal Kimlikler</w:t>
      </w:r>
      <w:bookmarkEnd w:id="189"/>
    </w:p>
    <w:p w14:paraId="3E1A2829"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Türkiye’deki etnik ve mezhepsel unsurların çeşitliliğine rağmen siyasal söylemde çok azının yer edindiği görülmektedir. Bunun temel nedenlerinden ilki, bu azınlıkların çoğunun ülke nüfusuna oranla sayılarının oldukça az olmasıdır. İkinci olarak, yakın zamana kadar göçmen nüfusun sayısının toplam nüfusa oranla az olmasının önemi büyüktür; zira bu kesim de toplumun genelini ilgilendirecek konularda başlık olamayacak kadar az sayıda kimseden oluşmaktaydı. Üstelik eskiden beridir yerleşik olan küçük nüfuslu etnik ve kültürel unsurlar ve Suriyeliler gibi kısa süre önce gerçekleşen göçlerle Türkiye’ye gelen toplulukların, bu başlık altında incelenen gruplar haricinde, nüfus olarak yeterince kalabalık olmamaları, toplumsal meselelerde başlı başına konu olabilecek şekilde söylem nesnesi olmamalarında belirleyici olmuştur. Bir diğer önemli neden ise özellikle Balkan göçmenleri ve Kafkasya göçmenlerinin ulusal kimliği benimseme konusunda pek bir itirazlarının olmadığıdır.</w:t>
      </w:r>
      <w:r w:rsidRPr="00E97E0B">
        <w:rPr>
          <w:rFonts w:ascii="Times New Roman" w:eastAsia="Calibri" w:hAnsi="Times New Roman" w:cs="Times New Roman"/>
          <w:sz w:val="24"/>
          <w:szCs w:val="24"/>
          <w:vertAlign w:val="superscript"/>
        </w:rPr>
        <w:footnoteReference w:id="350"/>
      </w:r>
      <w:r w:rsidRPr="00E97E0B">
        <w:rPr>
          <w:rFonts w:ascii="Times New Roman" w:eastAsia="Calibri" w:hAnsi="Times New Roman" w:cs="Times New Roman"/>
          <w:sz w:val="24"/>
          <w:szCs w:val="24"/>
        </w:rPr>
        <w:t xml:space="preserve"> Ulusal kimlikle özdeşleşmek konusunda itirazı olmayan Laz ve Hemşin etnik grupları için de ulusal siyasi söylemde farklı bir yerde değildir.</w:t>
      </w:r>
      <w:r w:rsidRPr="00E97E0B">
        <w:rPr>
          <w:rFonts w:ascii="Times New Roman" w:eastAsia="Calibri" w:hAnsi="Times New Roman" w:cs="Times New Roman"/>
          <w:sz w:val="24"/>
          <w:szCs w:val="24"/>
          <w:vertAlign w:val="superscript"/>
        </w:rPr>
        <w:footnoteReference w:id="351"/>
      </w:r>
      <w:r w:rsidRPr="00E97E0B">
        <w:rPr>
          <w:rFonts w:ascii="Times New Roman" w:eastAsia="Calibri" w:hAnsi="Times New Roman" w:cs="Times New Roman"/>
          <w:sz w:val="24"/>
          <w:szCs w:val="24"/>
        </w:rPr>
        <w:t xml:space="preserve"> Bunun dışında, Türkiye’de belirgin bir şekilde öne çıkan etnik grupların Türkler ve Kürtler olduğu, mezhepsel grupların ise Sünniler ve Aleviler olduklarını söylemek mümkündür. Bu durumun, siyasal söylemdeki öteki konumlarına yansıdığı görülmektedir. Bunların dışında, sayısal bakımdan oldukça küçük gruplar olmalarına rağmen, siyasal söylemde öteki konumunu en çok kazanan diğer üç grup, Ermeniler, Yahudiler ve Rumlar olmuştur. Bunun en önemli nedeni, bu grupların gayrimüslim olmakla birlikte tarihsel azınlıklar olmalarıdır. Buna karşın, Süryaniler de bu bakımdan diğer üç cemaatle benzeşse de doğrudan kendilerini bağdaştırabilecekleri bir dış devlet bulunmamaktadır venüfusları Rumlardan daha fazla olduğu halde söylem anlamında siyasallaşmamıştır. Ayrıca Osmanlı Devleti zamanında Ermeni Kilisesi’lerine dahil edilerek nüfus sayımları yapılan Süryaniler, Ermeniler, Yahudiler </w:t>
      </w:r>
      <w:r w:rsidRPr="00E97E0B">
        <w:rPr>
          <w:rFonts w:ascii="Times New Roman" w:eastAsia="Calibri" w:hAnsi="Times New Roman" w:cs="Times New Roman"/>
          <w:sz w:val="24"/>
          <w:szCs w:val="24"/>
        </w:rPr>
        <w:lastRenderedPageBreak/>
        <w:t xml:space="preserve">ve Rumların sayıca az olmakla birlikte, Türkiye’nin komşuları olan Ermenistan ve Yunanistan’la kültürel ve linguistik yakınlıkları bulunmaktadır. Benzer şekilde, Türkiye’yle aynı bölgede bulunan İsrail ile Yahudilerin tarihsel ve dinsel bağları mevcuttur. Bahsi geçen azınlıkların bu sebeplerden ötürü siyasal söylemde görece az da olsa bir öteki konumlarının olması anlaşılabilir bir durumdur. Öte yandan, Türkiye’de var olan diğer dini ve etnik kökenlere sahip ya da doğrudan başka ülkelerin vatandaşlarının oluşturduğu grupları siyasal söylemde bir yerli öteki olarak ele almak hem Türk siyaset dilinde gözlemlenmediğinden hem de konunun kapsamında ihmal edilebir düzeyde nadir rastlanır olduğundan ele alınmamıştır. </w:t>
      </w:r>
    </w:p>
    <w:p w14:paraId="0C837FB2" w14:textId="6F3264E6" w:rsidR="002858AE" w:rsidRPr="00E97E0B" w:rsidRDefault="002858AE" w:rsidP="002B7FA9">
      <w:pPr>
        <w:pStyle w:val="Heading3"/>
      </w:pPr>
      <w:bookmarkStart w:id="192" w:name="_Toc141133115"/>
      <w:r w:rsidRPr="00E97E0B">
        <w:t>5.</w:t>
      </w:r>
      <w:r w:rsidR="005026AD" w:rsidRPr="00E97E0B">
        <w:t>2</w:t>
      </w:r>
      <w:r w:rsidRPr="00E97E0B">
        <w:t>.1. Kürtler</w:t>
      </w:r>
      <w:bookmarkEnd w:id="192"/>
    </w:p>
    <w:p w14:paraId="2BC67820"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Kürtler Türkiye tarihinin demografik olarak en büyük etnik unsuru olmakla birlikte ülkedeki tüm diğer etnik unsurların toplam nüfusu Kürt nüfusuyla karşılaştırıldığında, sayıca oldukça az oldukları tahmin edilebilir. Tahminler muhtelif olsa dahi toplam Türkiye nüfusunun %18’ine yakın bir orandan söz edilmektedir ve her durumda ülkenin en büyük ikinci etnik grubu olarak bilinmektedir.</w:t>
      </w:r>
      <w:r w:rsidRPr="00E97E0B">
        <w:rPr>
          <w:rFonts w:ascii="Times" w:eastAsia="Calibri" w:hAnsi="Times" w:cs="Times New Roman"/>
          <w:sz w:val="24"/>
          <w:szCs w:val="24"/>
          <w:vertAlign w:val="superscript"/>
        </w:rPr>
        <w:footnoteReference w:id="352"/>
      </w:r>
      <w:r w:rsidRPr="00E97E0B">
        <w:rPr>
          <w:rFonts w:ascii="Times" w:eastAsia="Calibri" w:hAnsi="Times" w:cs="Times New Roman"/>
          <w:sz w:val="24"/>
          <w:szCs w:val="24"/>
        </w:rPr>
        <w:t xml:space="preserve"> Ayrıca, Türk vatandaşı olmayan, ancak Türkiye’nin komşusu olan Irak, Suriye ve İran başta olmak üzere geniş bir coğrafyada bu nüfusun dışında ayrıca yoğun bir Kürt nüfusu bulunmaktadır. Bununla birlikte, en büyük ikinci etnik grup olarak Kürtler, tıpkı ülkedeki pek çok etnik grup içinde olduğu gibi parçalı bir ideolojik, siyasi, mezhepsel ve linguistik manzaraya sahiptir. Öte yandan, Türkiye siyasetindeki etnik azınlık konumlarının pek çok kendine özgü hali bulunmaktadır. İran, Irak ve Suriye başta olmak üzere komşu ülkelerde de etnik azınlık olan Kürtler, bu ülkelerde farklı hukuki statülere sahiptir. Kürtlerin, Türkiye’de anayasal düzlemde birey olarak eşit vatandaş konumunda olup, toplum olarak herhangi bir hukuki statüleri bulunmamaktadır vebu sebeple, kimliksel hak talepleri beraberinde gelmektedir.  Üniter devlet yapısına sıkıca sarılan siyasal sistemde, devletin bütünlüğüne ilişkin endişeler, siyasal sistemin Kürtlerin siyasal ve toplumsal sorunlarının çözümüne yönelik işlerliği bozmaktadır. Bu durum, Kürtlerin siyasi ve sosyal sorunlarını kalıcı ve karmaşık hale getirmektedir. </w:t>
      </w:r>
      <w:r w:rsidRPr="00E97E0B">
        <w:rPr>
          <w:rFonts w:ascii="Times" w:eastAsia="Calibri" w:hAnsi="Times" w:cs="Times New Roman"/>
          <w:sz w:val="24"/>
          <w:szCs w:val="24"/>
        </w:rPr>
        <w:lastRenderedPageBreak/>
        <w:t>Kürt siyasal hareketi, Ak Parti iktidara geldiğinde, mevcut Kemalist millet anlayışını dinsel referanslar üzerinde inşa ederek, Kürtlerin etnik varlığını ülkenin bir bileşeni olarak kabul etmeye başlamıştı. Buna paralel olarak, hem kendisini liberal olarak konumlandıran kişilerden hem de tabanından destek alarak Kürt meselesini asimilasyonculuğun töhmetinden kurtarmıştı; fakat 2007 sonrasında, 2003’teki Irak’ın işgali sonrasında Irak’ın kuzeyinde oluşan yapının da etkisiyle ortaya çıkan Kürt siyasal hareketinin “demokratik özerklik” taleplerini de beraberinde getirdiği görülmüştür.</w:t>
      </w:r>
      <w:r w:rsidRPr="00E97E0B">
        <w:rPr>
          <w:rFonts w:ascii="Times" w:eastAsia="Calibri" w:hAnsi="Times" w:cs="Times New Roman"/>
          <w:sz w:val="24"/>
          <w:szCs w:val="24"/>
          <w:vertAlign w:val="superscript"/>
        </w:rPr>
        <w:footnoteReference w:id="353"/>
      </w:r>
      <w:r w:rsidRPr="00E97E0B">
        <w:rPr>
          <w:rFonts w:ascii="Times" w:eastAsia="Calibri" w:hAnsi="Times" w:cs="Times New Roman"/>
          <w:sz w:val="24"/>
          <w:szCs w:val="24"/>
        </w:rPr>
        <w:t xml:space="preserve">  </w:t>
      </w:r>
    </w:p>
    <w:p w14:paraId="77FB40C2"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w:eastAsia="Calibri" w:hAnsi="Times" w:cs="Times New Roman"/>
          <w:sz w:val="24"/>
          <w:szCs w:val="24"/>
        </w:rPr>
        <w:t xml:space="preserve">Kürtler her ne kadar Doğu ve Güneydoğu Anadolu’da daha yoğun nüfusa sahip olsa da Türkler ve Kürtler bu bölgelerde demografik olarak epeyce kaynaşmış etnik gruplardır. Bu bölgelerde, 3,5 milyondan fazla kişinin her iki etnik kökene de sahip olduğu tahmin edilmektedir. Ayrıca, ülkenin Batısında bulunan İstanbul, İzmir, Bursa gibi büyük şehirlerde önemli bir Kürt nüfusu bulunmaktadır. Söz konusu dağılımlar neticesinde, Türkler ve Kürtlerin nüfusunun coğrafi olarak da önemli ölçüde karıştığı söylenebilir. </w:t>
      </w:r>
    </w:p>
    <w:p w14:paraId="7CF04A35" w14:textId="0F9EF0F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Recep Tayyip Erdoğan başbakanlığının ilk döneminden itibaren Kürt sorunun çözümüne yönelik adımlar atmış ve sonraki adımlarının sinyallerini vermiştir. 2005 yılında ilk olarak Diyarbakır’da “Kürt Sorununu</w:t>
      </w:r>
      <w:r w:rsidR="006617F6" w:rsidRPr="00E97E0B">
        <w:rPr>
          <w:rFonts w:ascii="Times" w:eastAsia="Calibri" w:hAnsi="Times" w:cs="Times New Roman"/>
          <w:sz w:val="24"/>
          <w:szCs w:val="24"/>
        </w:rPr>
        <w:t>,”</w:t>
      </w:r>
      <w:r w:rsidRPr="00E97E0B">
        <w:rPr>
          <w:rFonts w:ascii="Times" w:eastAsia="Calibri" w:hAnsi="Times" w:cs="Times New Roman"/>
          <w:sz w:val="24"/>
          <w:szCs w:val="24"/>
        </w:rPr>
        <w:t xml:space="preserve"> “Benim de sorunumdur” şeklinde açıklamış ve konuyu siyaset ajandasına koyduğunu göstermiştir. Bu Erdoğan’ın ilerleyen dönemdeki politikalarını işaret eden bir sinyal olarak değerlendirilmektedir.</w:t>
      </w:r>
      <w:r w:rsidRPr="00E97E0B">
        <w:rPr>
          <w:rFonts w:ascii="Times" w:eastAsia="Calibri" w:hAnsi="Times" w:cs="Times New Roman"/>
          <w:sz w:val="24"/>
          <w:szCs w:val="24"/>
          <w:vertAlign w:val="superscript"/>
        </w:rPr>
        <w:footnoteReference w:id="354"/>
      </w:r>
      <w:r w:rsidRPr="00E97E0B">
        <w:rPr>
          <w:rFonts w:ascii="Times" w:eastAsia="Calibri" w:hAnsi="Times" w:cs="Times New Roman"/>
          <w:sz w:val="24"/>
          <w:szCs w:val="24"/>
        </w:rPr>
        <w:t xml:space="preserve"> Zira 1 Ağustos 2009’da başlangıcı ilan edilen ve 22 Temmuz 2015 Ceylanpınar saldırılarına kadar sürdüğü kabul edilen, kamuoyunda başlarda “Demokratik Açılım” ya da “Kürt Açılımı” olarak ve sonrasında “Çözüm Süreci” olarak adlandırılan </w:t>
      </w:r>
      <w:r w:rsidRPr="00E97E0B">
        <w:rPr>
          <w:rFonts w:ascii="Times" w:eastAsia="Calibri" w:hAnsi="Times" w:cs="Times New Roman"/>
          <w:i/>
          <w:sz w:val="24"/>
          <w:szCs w:val="24"/>
        </w:rPr>
        <w:t>Milli Birlik ve Kardeşlik Projesi</w:t>
      </w:r>
      <w:r w:rsidRPr="00E97E0B">
        <w:rPr>
          <w:rFonts w:ascii="Times" w:eastAsia="Calibri" w:hAnsi="Times" w:cs="Times New Roman"/>
          <w:sz w:val="24"/>
          <w:szCs w:val="24"/>
        </w:rPr>
        <w:t xml:space="preserve"> süreci, genel itibariyle MHP başta olmak üzere Türk milliyetçisi kesimi ve CHP tabanının bir kısmını ve ulusalcı çevreleri rahatsız etmiş; fakat Kürt nüfusunun yoğun olduğu illerde ve sol çevrelerin çoğunluğunda olumlu karşılanmıştır. 2008’de başladığı tahmin edilen Oslo görüşmeleri ve 2009’da ilk Kürtçe televizyon kanalı gibi sembolik ama Kürt </w:t>
      </w:r>
      <w:r w:rsidRPr="00E97E0B">
        <w:rPr>
          <w:rFonts w:ascii="Times" w:eastAsia="Calibri" w:hAnsi="Times" w:cs="Times New Roman"/>
          <w:sz w:val="24"/>
          <w:szCs w:val="24"/>
        </w:rPr>
        <w:lastRenderedPageBreak/>
        <w:t>meselesinin çözümüne yönelik önemi mesajlar içeren adımlar atılmıştır. Bu adımlar, Ak Parti’nin Kürt seçmeni ve elitleriyle yakınlaştığı ve milliyetçi kesimlerle arasına mesafe koyduğu bir ittifak alanı oluşturmasını sağlamıştır. Üstelik bu dönemde, Ak Parti’nin ve Erdoğan’ın siyaset paradigması, dış politikasıyla iç politikasının kardeşlik ve bizden olma söylemi açısından birleştiği yer olan İslam’a işaret etmekteydi. Böylelikle, Müslüman olan ve bu kapsama giren tüm Kürtleri doğal olarak ittifaka dahil etmeyi amaçlamaktaydı.</w:t>
      </w:r>
      <w:r w:rsidRPr="00E97E0B">
        <w:rPr>
          <w:rFonts w:ascii="Times" w:eastAsia="Calibri" w:hAnsi="Times" w:cs="Times New Roman"/>
          <w:sz w:val="24"/>
          <w:szCs w:val="24"/>
          <w:vertAlign w:val="superscript"/>
        </w:rPr>
        <w:footnoteReference w:id="355"/>
      </w:r>
      <w:r w:rsidRPr="00E97E0B">
        <w:rPr>
          <w:rFonts w:ascii="Times" w:eastAsia="Calibri" w:hAnsi="Times" w:cs="Times New Roman"/>
          <w:sz w:val="24"/>
          <w:szCs w:val="24"/>
        </w:rPr>
        <w:t xml:space="preserve"> 2005’te işaretleri yavaş yavaş gün yüzüne çıkan ve 2009’da iyice olgunlaşan bu strateji, meclisteki partilerin oy oranına da bağlıydı. Dönemin muhalefet partileri olan CHP ve MHP karşısında tek başına iktidar olan Ak Parti, siyasal sistem içindeki muktedir konumuna 2007 sonrasında ulaşmıştı ve Kürt Sorunu ile ilgili olarak projesini de bundan sonra gündeme taşıyabilmişti. Ak Parti’nin siyasal iktidarı hem AK Parti’nin ikinci bir seçimde genel oy oranlarını %34,28’den %46,66’ya taşıması, hem de kendi siyasi çizgisinde bir cumhurbaşkanı seçtirebilmesiyle perçinlenmiştir. AK Parti’nin siyasal iktidarı, Erdoğan’ın Abdullah Gül’ün Cumhurbaşkanı olarak seçilmesi süreci,</w:t>
      </w:r>
      <w:r w:rsidR="007310AF" w:rsidRPr="00E97E0B">
        <w:rPr>
          <w:rFonts w:ascii="Times" w:eastAsia="Calibri" w:hAnsi="Times" w:cs="Times New Roman"/>
          <w:sz w:val="24"/>
          <w:szCs w:val="24"/>
        </w:rPr>
        <w:t xml:space="preserve"> </w:t>
      </w:r>
      <w:r w:rsidRPr="00E97E0B">
        <w:rPr>
          <w:rFonts w:ascii="Times" w:eastAsia="Calibri" w:hAnsi="Times" w:cs="Times New Roman"/>
          <w:sz w:val="24"/>
          <w:szCs w:val="24"/>
        </w:rPr>
        <w:t>TSK ile karşı karşıya kalması ve 30 Temmuz 2008 tarihinde olumsuz sonuçlanan kapatılma davası sürecinde de güç kazanmıştır. Bu nedenle, seküler, cumhuriyetçi ve devletçi kesimle olan güç mücadelesinin lehine sonuç vermesinin ardından, demokratikleşme ve sivilleşme sürecinde Kürt seçmenle yakınlaştığı düşünülmektedir.</w:t>
      </w:r>
    </w:p>
    <w:p w14:paraId="295BDDA6"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 Bu çalışmada, 2012 tarihini de kapsayacak şekilde Recep Tayyip Erdoğan’ın Kürtler ile ilgili 2007-2012 arası söylemleri esas alınmıştır. Bu dönem, Kürt Açılımı’nın en belirgin biçimde geliştiği bir dönem olarak değerlendirilmektedir. Zira 2011’de Erdoğan’ın Muş’ta yaptığı konuşmada kullandığı “Bu ülkede Kürt sorunu yoktur” ifadesi ile sürecin sona erdiğini kabul anlaşılmaktadır.</w:t>
      </w:r>
      <w:r w:rsidRPr="00E97E0B">
        <w:rPr>
          <w:rFonts w:ascii="Times" w:eastAsia="Calibri" w:hAnsi="Times" w:cs="Times New Roman"/>
          <w:sz w:val="24"/>
          <w:szCs w:val="24"/>
          <w:vertAlign w:val="superscript"/>
        </w:rPr>
        <w:footnoteReference w:id="356"/>
      </w:r>
      <w:r w:rsidRPr="00E97E0B">
        <w:rPr>
          <w:rFonts w:ascii="Times" w:eastAsia="Calibri" w:hAnsi="Times" w:cs="Times New Roman"/>
          <w:sz w:val="24"/>
          <w:szCs w:val="24"/>
        </w:rPr>
        <w:t xml:space="preserve"> Bununla birlikte, Kürt açılımının 2010’da da büyük oranda zarar görmüş olabileceğini söylemek de mümkündür; zira 2010 Anayasa referandumunda Ak Parti Kürt siyasal hareketinden, Anayasa Referandumu’nu boykot etme çağrısıyla ancak zımnî bir destek alabildiği söylenebilir. Diğer taraftan bu durum, Kürt Siyasal Hareketinin kendi siyasi özerk </w:t>
      </w:r>
      <w:r w:rsidRPr="00E97E0B">
        <w:rPr>
          <w:rFonts w:ascii="Times" w:eastAsia="Calibri" w:hAnsi="Times" w:cs="Times New Roman"/>
          <w:sz w:val="24"/>
          <w:szCs w:val="24"/>
        </w:rPr>
        <w:lastRenderedPageBreak/>
        <w:t xml:space="preserve">alanını genişletme ve AK Parti-CHP dikotomisinin egemen olduğu siyasi atmosferde kendi varlığını koruma stratejisi olarak değerlendirilebilir. Bu nedenle, 2013 yılına kadar sürtüşmeli de olsa AK Parti ve Kürt siyasi hareketi arasında kısmî bir uzlaşının olduğu anlaşılmaktadır. Ancak, 2011 seçimleriyle birlikte Ak Parti’nin sandalye sayısı bir önceki seçimle kıyaslandığında, 341’den 327’ye düşmüştür. 2011 seçim sonucunda MHP’nin vekil sayısı, her ne kadar 2007 seçim sonucuna nazaran azalsa da HDP’ye kıyasla vekil sayısı üstünlüğünü sürdürmüştür. Ana muhalefet partisi CHP’nin Ak Parti için bir müttefik olma ihtimalinin zayıflığı ve Çözüm Süreci’ndeki tıkanma göz önünde bulundurulduğunda, HDP ile uzlaşının ve “ittifakın” en güçlü olduğu iktidar dönemi 2007-2011 olabilmiştir. Sonraki süreçte ise Ak Parti’nin geldiği sağ geleneğin de ağırlığıyla, siyasi anlayışı daha yakın olan MHP’yle yakınlaşması olasılığı güçlenmiştir. Öte yandan, 2007-2011 yılları arasındaki dönem, Kürt meselesine yönelik çözüm yaklaşımları bakımından AK Parti’nin en esnek olduğu dönem olarak değerlendirilebilir. Bu doğrultuda, inceleme nesnesini bu dönemle sınırlamanın faydalarından biri de Kürt siyasi hareketinin ve Kürtlerin </w:t>
      </w:r>
      <w:r w:rsidRPr="00E97E0B">
        <w:rPr>
          <w:rFonts w:ascii="Times" w:eastAsia="Calibri" w:hAnsi="Times" w:cs="Times New Roman"/>
          <w:i/>
          <w:iCs/>
          <w:sz w:val="24"/>
          <w:szCs w:val="24"/>
        </w:rPr>
        <w:t>biz</w:t>
      </w:r>
      <w:r w:rsidRPr="00E97E0B">
        <w:rPr>
          <w:rFonts w:ascii="Times" w:eastAsia="Calibri" w:hAnsi="Times" w:cs="Times New Roman"/>
          <w:sz w:val="24"/>
          <w:szCs w:val="24"/>
        </w:rPr>
        <w:t xml:space="preserve"> ve </w:t>
      </w:r>
      <w:r w:rsidRPr="00E97E0B">
        <w:rPr>
          <w:rFonts w:ascii="Times" w:eastAsia="Calibri" w:hAnsi="Times" w:cs="Times New Roman"/>
          <w:i/>
          <w:iCs/>
          <w:sz w:val="24"/>
          <w:szCs w:val="24"/>
        </w:rPr>
        <w:t>öteki</w:t>
      </w:r>
      <w:r w:rsidRPr="00E97E0B">
        <w:rPr>
          <w:rFonts w:ascii="Times" w:eastAsia="Calibri" w:hAnsi="Times" w:cs="Times New Roman"/>
          <w:sz w:val="24"/>
          <w:szCs w:val="24"/>
        </w:rPr>
        <w:t xml:space="preserve"> olma konumlarının en zengin bir şekilde söyleme yansıyacağı tahmin edilen dönem olmasıdır. Bunun nedeni, Kürt Siyasi Hareketinin Çözüm Süreci boyunca kamuoyunda daha fazla tartışılması ve bu tartışmalar esnasında siyaset yapıcıların gündeme ilişkin daha sık konuştuğu varsayılmaktadır.  Buna ek olarak, açılım sürecinde Erdoğan’ın Kürt siyasi hareketiyle, yalnızca bir siyasi rakip değil; aynı zamanda müzakere eden bir ortak olma durumu da bu dönemde söz konusudur. Dolayısıyla, bu dönemin siyasi söyleminde, Kürtlerden ve Kürt Siyasi Hareketinin temsilcilerinden yalnızca bir dış grup değil, bir iç grup olarak da sıkça bahsedildiği görülmektedir. </w:t>
      </w:r>
    </w:p>
    <w:p w14:paraId="4452EFA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Kürtlerden ve Kürt Siyasi Hareketinin temsilcilerine ve çözüm sürecine dair söylemlerin keskin bir şekilde tasnif etmenin mümkün olmadığı ve bunun nedeninin de süreç içinde gelişen olayların aktörlerinin çeşitliliği olduğu anlaşılmaktadır. Gelişen olaylar olarak, 2011 sonrası, MHP’nin TBMM’de en büyük siyasi karşıtı BDP’den (Barış ve Demokrasi Partisi) çok daha fazla sandalye ile bulunması, bu dönemde PKK’nın çatışmaları şiddetlendirmesi, Suriye’de ortaya çıkan iç savaşta Türkiye’nin ucu Kürt Meselesi’ne de dokunacak politikaları ve tutumları, 2013’teki Gezi Olayları sonrası hükümet ile Kürt Siyasal Hareketi’nin arasının iyice açılması, PKK’nın silah </w:t>
      </w:r>
      <w:r w:rsidRPr="00E97E0B">
        <w:rPr>
          <w:rFonts w:ascii="Times" w:eastAsia="Calibri" w:hAnsi="Times" w:cs="Times New Roman"/>
          <w:sz w:val="24"/>
          <w:szCs w:val="24"/>
        </w:rPr>
        <w:lastRenderedPageBreak/>
        <w:t xml:space="preserve">bırakması için Abdullah Öcalan’ın sunduğu şartlar,bu sürecin tedricen bitmesine neden olmuştur. </w:t>
      </w:r>
    </w:p>
    <w:p w14:paraId="3CC115BD" w14:textId="416AB799"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Erdoğan’ın Kürt kimliğine ve iktidarının önemli bir kısmında tanıdığını belirttiği Kürt sorununa yaklaşımını, iktidarı oldukça uzun olduğundan bu döneme indirgemek mümkün değildir, ancak bu dönemde ortaya koyduğu söylemlerin, diğer konularda olduğu gibi, sınırlanan döneme</w:t>
      </w:r>
      <w:r w:rsidR="00EC2174" w:rsidRPr="00E97E0B">
        <w:rPr>
          <w:rFonts w:ascii="Times" w:eastAsia="Calibri" w:hAnsi="Times" w:cs="Times New Roman"/>
          <w:sz w:val="24"/>
          <w:szCs w:val="24"/>
        </w:rPr>
        <w:t xml:space="preserve"> </w:t>
      </w:r>
      <w:r w:rsidRPr="00E97E0B">
        <w:rPr>
          <w:rFonts w:ascii="Times" w:eastAsia="Calibri" w:hAnsi="Times" w:cs="Times New Roman"/>
          <w:sz w:val="24"/>
          <w:szCs w:val="24"/>
        </w:rPr>
        <w:t>dair bilgiler vermeye ek olarak,</w:t>
      </w:r>
      <w:r w:rsidR="003C04BC" w:rsidRPr="00E97E0B">
        <w:rPr>
          <w:rFonts w:ascii="Times" w:eastAsia="Calibri" w:hAnsi="Times" w:cs="Times New Roman"/>
          <w:sz w:val="24"/>
          <w:szCs w:val="24"/>
        </w:rPr>
        <w:t xml:space="preserve"> </w:t>
      </w:r>
      <w:r w:rsidRPr="00E97E0B">
        <w:rPr>
          <w:rFonts w:ascii="Times" w:eastAsia="Calibri" w:hAnsi="Times" w:cs="Times New Roman"/>
          <w:sz w:val="24"/>
          <w:szCs w:val="24"/>
        </w:rPr>
        <w:t xml:space="preserve">diğer dönemlerindeki konuşmaları ile karşılaştırmak için bir çalışma konusu olarak ele alınabileceği düşünülmektedir. </w:t>
      </w:r>
    </w:p>
    <w:p w14:paraId="566BCA5A"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Erdoğan’ın tedricen önce 2011 sonrası, sonra 2013 Gezi Olayları sonrası ve ardından 2016 Darbe Girişimi sonrası Kürt meselesini gittikçe daha temkinli, otoriter ve güvenlikçi bir perspektifle değerlendirdiği anlaşılmaktadır. Bu nedenle, ortaya koyulan söylem ve söylemdeki öteki konumları farklılık göstermektedir., fakat bu analizin, söz konusu dönemin siyasi iradesinin, ele alınan dönemde nasıl bir konumlandırma yaptığını incelemek bakımından yararlı olabileceği düşünülmektedir. </w:t>
      </w:r>
    </w:p>
    <w:p w14:paraId="003EBE9C"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Çözüm Süreci döneminin sonu, demokratikleşme ve Kürt Açılımı gibi sloganların yerini “Yerli ve Millî” sloganına bıraktığı döneme de tekabül etmektedir. Bu anlamda, Kürt Soruna dair yaklaşım ve politika değişimleri doğrudan Türkiye Cumhuriyeti Devleti’nin toplumsal etnik gruplarla ilgili anlayışını ve ulus tanımlamasına dair söylemlerini şekillendirmektedir. </w:t>
      </w:r>
    </w:p>
    <w:p w14:paraId="022306F8"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Osmanlı Devleti ile İran İmparatorluğu arasındaki rekabet nedeniyle, 19. yüzyılın ortalarına kadar özerk konumlarını büyük ölçüde korumasında sorun görülmeyen Kürt nüfuslu bölgelere bakışın, 19. yüzyılda Osmanlı Devleti’nin milliyetçiliğin yayılmasıyla paralel giden, bölgeyi de kapsayan merkeziyetçi ve görece milliyetçi bir anlayışa yönelmesiyle başlayan süreçte değiştiği söylenebilir.</w:t>
      </w:r>
      <w:r w:rsidRPr="00E97E0B">
        <w:rPr>
          <w:rFonts w:ascii="Times" w:eastAsia="Calibri" w:hAnsi="Times" w:cs="Times New Roman"/>
          <w:sz w:val="24"/>
          <w:szCs w:val="24"/>
          <w:vertAlign w:val="superscript"/>
        </w:rPr>
        <w:footnoteReference w:id="357"/>
      </w:r>
      <w:r w:rsidRPr="00E97E0B">
        <w:rPr>
          <w:rFonts w:ascii="Times" w:eastAsia="Calibri" w:hAnsi="Times" w:cs="Times New Roman"/>
          <w:sz w:val="24"/>
          <w:szCs w:val="24"/>
        </w:rPr>
        <w:t xml:space="preserve"> Osmanlı Devleti’nde millet-i hakime olan Türk ulusunun, ulus devlet inşasıyla İmparatorluk bakiyesi topraklarda homojenleştirme çabaları hızlanmış ve bu durumda en görünür etki Kürt ulus kimliği üzerinde yoğunlaşmıştır.</w:t>
      </w:r>
      <w:r w:rsidRPr="00E97E0B">
        <w:rPr>
          <w:rFonts w:ascii="Times" w:eastAsia="Calibri" w:hAnsi="Times" w:cs="Times New Roman"/>
          <w:sz w:val="24"/>
          <w:szCs w:val="24"/>
          <w:vertAlign w:val="superscript"/>
        </w:rPr>
        <w:footnoteReference w:id="358"/>
      </w:r>
      <w:r w:rsidRPr="00E97E0B">
        <w:rPr>
          <w:rFonts w:ascii="Times" w:eastAsia="Calibri" w:hAnsi="Times" w:cs="Times New Roman"/>
          <w:sz w:val="24"/>
          <w:szCs w:val="24"/>
        </w:rPr>
        <w:t xml:space="preserve">  Türkiye’de geçmiş hükümetlerin Kürtleri homojen ulus-devlet anlayışı içinde eşit Türk vatandaşı olarak adlandırması ve vatandaşlığa ulaşma önünde bir engel sunmaması, ancak asimilasyonlarına yönelik </w:t>
      </w:r>
      <w:r w:rsidRPr="00E97E0B">
        <w:rPr>
          <w:rFonts w:ascii="Times" w:eastAsia="Calibri" w:hAnsi="Times" w:cs="Times New Roman"/>
          <w:sz w:val="24"/>
          <w:szCs w:val="24"/>
        </w:rPr>
        <w:lastRenderedPageBreak/>
        <w:t>bir politikayı benimsemesi çok yönlü bir şekilde gelişmiştir. Bir taraftan Kürt kimliğinin inkarı ya da Kürtlerin “aslında Türk olduğu” kavramsallaştırması üzerinden Kürtlerin “özlerine uygun bir şekilde” Türkleştirilmesi meşrulaştırılmaya çalışılmış, diğer taraftan inkarın mümkün olamadığı daha somut durumlarda ise Kürtlerin varlıkları kabul edilerek, dillerini devlet bütünlüğünü bozan bir unsur olarak tanımlayıp dışlamak meşrulaştırılmıştır.</w:t>
      </w:r>
      <w:r w:rsidRPr="00E97E0B">
        <w:rPr>
          <w:rFonts w:ascii="Times" w:eastAsia="Calibri" w:hAnsi="Times" w:cs="Times New Roman"/>
          <w:sz w:val="24"/>
          <w:szCs w:val="24"/>
          <w:vertAlign w:val="superscript"/>
        </w:rPr>
        <w:footnoteReference w:id="359"/>
      </w:r>
      <w:r w:rsidRPr="00E97E0B">
        <w:rPr>
          <w:rFonts w:ascii="Times" w:eastAsia="Calibri" w:hAnsi="Times" w:cs="Times New Roman"/>
          <w:sz w:val="24"/>
          <w:szCs w:val="24"/>
        </w:rPr>
        <w:t xml:space="preserve"> Kürt kimliği, Türk merkezli bir yaklaşım çerçevesinde merkezî ve seküler ulus-devletin mantığına aykırı olarak görülmüş vefeodal, kabileci, çetecilik, kaçakçılık, gericilik, geri kalmışlık ve başka devletlerle işbirliği yapan ve ülkenin parçalanması riskini barındıran bir unsur olarak telakki edilegelmiştir.</w:t>
      </w:r>
      <w:r w:rsidRPr="00E97E0B">
        <w:rPr>
          <w:rFonts w:ascii="Times" w:eastAsia="Calibri" w:hAnsi="Times" w:cs="Times New Roman"/>
          <w:sz w:val="24"/>
          <w:szCs w:val="24"/>
          <w:vertAlign w:val="superscript"/>
        </w:rPr>
        <w:footnoteReference w:id="360"/>
      </w:r>
      <w:r w:rsidRPr="00E97E0B">
        <w:rPr>
          <w:rFonts w:ascii="Times" w:eastAsia="Calibri" w:hAnsi="Times" w:cs="Times New Roman"/>
          <w:sz w:val="24"/>
          <w:szCs w:val="24"/>
        </w:rPr>
        <w:t xml:space="preserve"> Öte yandan, Türkiye’de mezhepsel dağılım açısından bakıldığında, Kürt ve gayri-Kürt unsurların nüfus oranları bakımından en çok ortaklaştığı mezhep olan Sünnilik üzerinden de bir birlik sağlayan köprü oluşturan bir söylem benimsenmiştir,ancak bu durum, bir taraftan çoğunluğun mezhep üzerinden kaynaşmasına imkan tanırken, bir taraftan  mezhepsel ayrışmaların tarihinden gelen başka ayrışmaların sürmesine neden olmuştur. 1990’lara gelindiğinde, artık ana akım milliyetçi söylemde “Kürt gerçekliği” tanınmış, fakat Kürtlere bir etnik varlık olarak hak tanımak söz konusu olmamıştır.</w:t>
      </w:r>
      <w:r w:rsidRPr="00E97E0B">
        <w:rPr>
          <w:rFonts w:ascii="Times" w:eastAsia="Calibri" w:hAnsi="Times" w:cs="Times New Roman"/>
          <w:sz w:val="24"/>
          <w:szCs w:val="24"/>
          <w:vertAlign w:val="superscript"/>
        </w:rPr>
        <w:footnoteReference w:id="361"/>
      </w:r>
      <w:r w:rsidRPr="00E97E0B">
        <w:rPr>
          <w:rFonts w:ascii="Times" w:eastAsia="Calibri" w:hAnsi="Times" w:cs="Times New Roman"/>
          <w:sz w:val="24"/>
          <w:szCs w:val="24"/>
        </w:rPr>
        <w:t xml:space="preserve"> Bu noktada, Ak Parti ve Erdoğan iktidarının ilk yıllarında yapısal olarak geçmişten gelen Kürt politikası anlayışının belli noktalarını değiştirmeye yönelik adımları Çözüm Süreci adı altında değerlendirilebilir. Özellikle kültürel hakları tanımaya yönelik sembolik, ancak dikkate değer adımlar atılmış, bu da kamuoyunda Kürt sorununun daha açık bir biçimde konuşulmasına neden olmuştur. Özellikle Ak Parti’nin dindar muhafazakâr çizgisi, Kürtlerin Sünni dindar muhafakar olan kesimiyle yakınlaşma üzerinden Kürt sorununda ilerleme kaydedilmesine sağlamıştır. Ancak bu yakınlaşma sonrasında seküler ve milliyetçi Kürt kesimle olan ayrışmayı şiddetlendirme potansiyelini artırmıştır. </w:t>
      </w:r>
    </w:p>
    <w:p w14:paraId="14CF1697" w14:textId="77777777" w:rsidR="002858AE" w:rsidRPr="00E97E0B" w:rsidRDefault="002858AE" w:rsidP="002858AE">
      <w:pPr>
        <w:spacing w:before="120" w:after="120" w:line="360" w:lineRule="auto"/>
        <w:ind w:firstLine="720"/>
        <w:jc w:val="both"/>
        <w:rPr>
          <w:rFonts w:ascii="Times" w:eastAsia="Calibri" w:hAnsi="Times" w:cs="Times New Roman"/>
          <w:sz w:val="24"/>
          <w:szCs w:val="24"/>
        </w:rPr>
      </w:pPr>
      <w:r w:rsidRPr="00E97E0B">
        <w:rPr>
          <w:rFonts w:ascii="Times" w:eastAsia="Calibri" w:hAnsi="Times" w:cs="Times New Roman"/>
          <w:sz w:val="24"/>
          <w:szCs w:val="24"/>
        </w:rPr>
        <w:t xml:space="preserve">Erdoğan’ın 2007 seçimleri kampanyası sırasında ve 2009-2010 yıllarında yaptığı miting konuşmalarına bakıldığında, Kürt etnik topluluğu hakkında öteki konumu oluşturduğunu düşündürebilecek herhangi bir söylemi olduğu tespit edilmemiştir. Burada dikkat çeken önemli kısım ise Kürt ifadesini de oldukça seyrek bir şekilde dile getirmekle birlikte, birlik ve beraberlik vurgusuna sıklıkla </w:t>
      </w:r>
      <w:r w:rsidRPr="00E97E0B">
        <w:rPr>
          <w:rFonts w:ascii="Times" w:eastAsia="Calibri" w:hAnsi="Times" w:cs="Times New Roman"/>
          <w:sz w:val="24"/>
          <w:szCs w:val="24"/>
        </w:rPr>
        <w:lastRenderedPageBreak/>
        <w:t xml:space="preserve">başvurulmasıdır. Birlik ve beraberliğe halel getirmek isteyenleri örtük bir şekilde dile getiren Erdoğan’ın söyleminde, Kürtleri doğrudan zikretmeden gençlerin bir kısmının tuzağa çekilmek istendiğini ve “Kürt kökenli kardeşlerin” uzun zamandır zulme uğradığı teması hakimdir. Bununla ilgili olarak Erdoğan hem kendisinin hem de sıkça mensubu ve yöneticisi olduğu partinin bu durumu değiştirdiğini ve bunu sürdürmek için destek istediğini dile getirmiştir. Bu dönem için Erdoğan’ın Kürt kimliğini söylemlerinde neredeyse “bize” dahil bir iç grup olarak kabul ettiğini söylemek mümkündür. Bununla birlikte, konunun Kürt kimliği ile alakalı olduğu yerlerde bile ifade etmek yerine mesele genelleştirilerek, demokratikleşme, birlik, terörün sona ermesi ve millet iradesi meselesi formunda ima edilmesi tercih edilmiştir. Buna karşı duran vesayetçi, millet iradesine engel olmaya çalışan, ayrışmadan ve çatışmadan çıkar elde eden gruplar ima edilmiş ve çoğunlukla bu gruplar yine adları zikredilmeden geçilmiştir. Ayrıca bu grupların kimler olduğu gizlenmemiş, genel itibariyle kastedilen grupların kimler olduğunun bilindiği söylenmiştir. Buradaki söylemsel stratejinin söz konusu aktörleri daha az zikrederek çoğunlukla verilmek istenilen mesajların üstü kapalı bir şekilde verilmesi olduğu anlaşılmaktadır. Bunun muhtemel sebebi, öncelikle Kürt sorunu ile ilgili yapılan ve yapılmak istenilen icraatları somutlaştırmamak ve bu konuda kendisine muhalefet eden aktörlerin tepkisini asgariye çekmek olarak gösterilebilir zira; her ne kadar tek başına iktidar olan Ak Parti’nin Meclis’te sandalye çoğunluğu ile kendi çoğunluğunun desteklediği Cumhurbaşkanı olarak seçilmiş olsa da Erdoğan’ın önünde Kürt sorunu nedeni ile süregelen ve toplumsal uzlaşma gerektiren bir sürecin olduğu söylenebilir. Ayrıca, meselenin net bir şekilde tanımlanmasının hem Kürt siyasi hareketinin hüsrana uğrama ve desteğini çekme riski nedeniyle, hem de sürece itirazları olan milliyetçi eğilimli muhalefetin endişeyle beklemesi nedeniyle bu söylemin sürdürüldüğü tahmin edilebilir. Üstelik bu muğlaklık e itirazı veya beklentisi olan kesimleri, Erdoğan politikalarını açıklamadan itiraz etmemeye itmiş görünmektedir. Bu şekilde, kendi cenahlarının politik anlayışı çerçevesinde hata yapmamaya özen göstermiştir denilebilir. Söz konusu belirsizlik stratejik açıdan ne yapmak gerektiği konusunda tereddüde neden olmuş gibi görünmektedir. Böylece Erdoğan, süreç içinde icraatları nasıl anlatacağını, yalnızca bir sonraki icraat için açıklama imkânı bularak ve icraat yaptıkça onu savunup seçmeni etkilemeye çalışmıştır. Açılım Politikalarını, hem bu politikaları taviz olarak gören </w:t>
      </w:r>
      <w:r w:rsidRPr="00E97E0B">
        <w:rPr>
          <w:rFonts w:ascii="Times" w:eastAsia="Calibri" w:hAnsi="Times" w:cs="Times New Roman"/>
          <w:sz w:val="24"/>
          <w:szCs w:val="24"/>
        </w:rPr>
        <w:lastRenderedPageBreak/>
        <w:t xml:space="preserve">muhaliflere hem de yetersiz bulacak olan Kürt Siyasal Hareketi’ne karşı aşama aşama savunmayı siyaseten daha makul bulmuş gibi görünmektedir. </w:t>
      </w:r>
    </w:p>
    <w:p w14:paraId="67A24D13" w14:textId="5644A36D" w:rsidR="002858AE" w:rsidRPr="00E97E0B" w:rsidRDefault="002858AE" w:rsidP="002858AE">
      <w:pPr>
        <w:spacing w:before="120" w:after="120" w:line="240" w:lineRule="auto"/>
        <w:jc w:val="both"/>
        <w:rPr>
          <w:rFonts w:ascii="Times" w:eastAsia="Calibri" w:hAnsi="Times" w:cs="Times New Roman"/>
          <w:sz w:val="24"/>
          <w:szCs w:val="24"/>
        </w:rPr>
      </w:pPr>
      <w:r w:rsidRPr="00E97E0B">
        <w:rPr>
          <w:rFonts w:ascii="Times" w:eastAsia="Calibri" w:hAnsi="Times" w:cs="Times New Roman"/>
          <w:sz w:val="24"/>
          <w:szCs w:val="24"/>
        </w:rPr>
        <w:t>“…79 yıllık tarihimize baktığımızda gerek Güneydoğu gerekse Doğu Anadolu bölgesinde bizim yaptığımız yatırımların o dönemle mukayese edilemeyecek derecede fazla olduğunu görürsünüz. Bunu adalette, emniyette, ulaşımda, sağlık, eğitim alanında, tarımda bunu görürsünüz. (Mesafe Koyma) En son biliyorsunuz kendilerinin de bu noktada sürekli farklı yerlere kanalize edilen bir psikolojik baskı altında tutulduklarını görüyoruz oradaki Kürt kökenli vatandaşlarımın. (İma) İşte “kimlik siyaseti noktasından kimlikleri tanınmıyor,” bir defa böyle bir şey söz konusu değil;(Karşı Gerçeklik) bizim özellikle şahıs olarak söylüyorum; alt kimlik olarak benim ülkemi oluşturan bütün etnik unsurları her zaman açıklamışımdır; saygıyla karşıladığımızı söylemişimdir. Bu AK Parti’nin politikasıdır. (Kural İfadesi) Ve üst kimlik olarak da Türkiye Cumhuriyeti vatandaşlığını hep birlikte benimseyeceğiz; bizim çatımızdır, burada bütünleşeceğiz. (Kural İfadesi, Yasallık, Kanı Birliği) Ama benim Türk kardeşim, Kürt kardeşim, Laz, Çerkez, Gürcü, Abaza, Arnavut, Boşnak, aklınıza ne gelirse ülkemde yaşayan her etnik unsur saygındır bunu bütün etnik unsurlarda böyle anlamalıdır. (Kural İfadesi) Ve 'yaradılanı Yaradan'dan ötürü severiz' anlayışı, bizim ta Yunus’tan gelen bu noktadaki kültürümüzün en önemli yanını oluşturuyor bunu hep ifade etmişizdir. (Ders Olarak Tarih, Ulusal Övünç, Genelleştirme) Ve bölgeye de çok rahat giden bir siyasi parti lideri dikkat ederseniz benim ve çok sık giden. (Mesafe Koyma) Bölgede bugüne kadar attığımız adımları bundan sonra</w:t>
      </w:r>
      <w:r w:rsidR="00BA09BB" w:rsidRPr="00E97E0B">
        <w:rPr>
          <w:rFonts w:ascii="Times" w:eastAsia="Calibri" w:hAnsi="Times" w:cs="Times New Roman"/>
          <w:sz w:val="24"/>
          <w:szCs w:val="24"/>
        </w:rPr>
        <w:t xml:space="preserve"> </w:t>
      </w:r>
      <w:r w:rsidRPr="00E97E0B">
        <w:rPr>
          <w:rFonts w:ascii="Times" w:eastAsia="Calibri" w:hAnsi="Times" w:cs="Times New Roman"/>
          <w:sz w:val="24"/>
          <w:szCs w:val="24"/>
        </w:rPr>
        <w:t>da yine çok daha kararlı bir şekilde atmaya devam edeceğiz. En son TRT Şeş... Çok büyük bir adım atıldı dillerini öğrenme noktasında; kursların açılması vesaire... Örneğin cezaevlerinde kendi dillerini konuşamadıkları söylendi; bunu çözmüş bulunuyoruz. Bakanlar Kurulu kararı şu anda çıkmış vaziyette; böyle bir durum var. Bütün bunlarla beraber bu eksikleri, bu sıkıntıları gideren bir iktidar iş başında. Kürt kökenli vatandaşım benim kardeşim (Kardeşlik); şu anda onun meselesi, onun sorunu, benim meselem; iktidarımın meselesi, bunu çözüyoruz…”</w:t>
      </w:r>
      <w:r w:rsidRPr="00E97E0B">
        <w:rPr>
          <w:rFonts w:ascii="Times" w:eastAsia="Calibri" w:hAnsi="Times" w:cs="Times New Roman"/>
          <w:sz w:val="24"/>
          <w:szCs w:val="24"/>
          <w:vertAlign w:val="superscript"/>
        </w:rPr>
        <w:footnoteReference w:id="362"/>
      </w:r>
    </w:p>
    <w:p w14:paraId="5873AEA0" w14:textId="13F3D4ED" w:rsidR="002858AE" w:rsidRPr="00E97E0B" w:rsidRDefault="002858AE" w:rsidP="002858AE">
      <w:pPr>
        <w:spacing w:before="120" w:after="120" w:line="360" w:lineRule="auto"/>
        <w:ind w:firstLine="720"/>
        <w:jc w:val="both"/>
        <w:rPr>
          <w:rFonts w:ascii="Times" w:eastAsia="Calibri" w:hAnsi="Times" w:cs="Times New Roman"/>
          <w:iCs/>
          <w:sz w:val="24"/>
          <w:szCs w:val="24"/>
        </w:rPr>
      </w:pPr>
      <w:r w:rsidRPr="00E97E0B">
        <w:rPr>
          <w:rFonts w:ascii="Times" w:eastAsia="Calibri" w:hAnsi="Times" w:cs="Times New Roman"/>
          <w:iCs/>
          <w:sz w:val="24"/>
          <w:szCs w:val="24"/>
        </w:rPr>
        <w:t xml:space="preserve">Erdoğan’ın ifadelerinde, bir etnik cemaatle devlet yöneticisi olarak, devlet ve toplum arasındaki çözüme söylemsel yaklaşımı, çözdük ve çözeceğiz anlamına gelecek ifadelerin oldukça baskın bir şekilde kullanıldığı görülmektedir. Burada aktif bir sorun çözücü rolünü vurgulamaya yönelik yaklaşım görünür şekilde ön plandadır. Bu yaklaşım, Türkiye’nin siyaset kültüründe projeci veya “iş yapan” başkan algısının ne kadar önemli olduğuyla da ilişkilidir. Genelde dindar muhafazakâr ve liberal çevrelerin yaygın olarak sıcak baktıkları bu söylem, aynı zamanda Kürt tabanın da benzer bir şekilde sıcak baktığı bir lider profilini işaret etmektedir. Kendisinden önceki iktidarın devamı olarak da görülebilecek Sarkozy’den farklı olarak, Erdoğan’ın siyaset </w:t>
      </w:r>
      <w:r w:rsidRPr="00E97E0B">
        <w:rPr>
          <w:rFonts w:ascii="Times" w:eastAsia="Calibri" w:hAnsi="Times" w:cs="Times New Roman"/>
          <w:iCs/>
          <w:sz w:val="24"/>
          <w:szCs w:val="24"/>
        </w:rPr>
        <w:lastRenderedPageBreak/>
        <w:t>geçmişi, kendisinden önceki iktidarın siyasi çizgisinin devamı niteliğini taşımasa da hem ulusal düzeyde tabanı olan hem de geçmişte parti başkanı Başbakanlık yapmış olan Necmettin Erbakan’ın Millî Görüş geleneğinden gelmiştir. Üstelik, kendisi 1994-1998 yılları arasında İstanbul’daki pek çok soruna aktif bir şekilde müdahale eden projeci belediye başkanı kimliğiyle ün kazanmıştır. Cumhuriyet tarihini kastederek belirttiği, Doğu ve Güneydoğu Anadolu Bölgeleri’ndeki yapılan yatırımlarda en önde olduğunu söyleyerek, bir taraftan rakibi olan siyasi partilerle arasına mesafe koymakta hem de dinleyicinin takdirini hedeflemektedir. Sonraki cümlesinde bahsi geçen psikolojik baskı, bölgede PKK’nın Kürt seçmene baskı yaptığı anlamına gelmektedir. Burada kastedilen farklı yer, ulusal bütünlüğü hedefleyen ayrışmalardır, ancak burada isim zikredilmemektedir. Bunun nedenlerinin, muhtelif olabilecek de olsa temelde söz konusu örgütün adını çokça zikrederek söyleminde onu merkeze almama stratejisi ve seçmenin bir kesimindeki sempati nedeniyle, örgütüdoğrudan hedef alarak antipati oluşturmama niyetinin ağır basması olduğu söylenebilir.</w:t>
      </w:r>
    </w:p>
    <w:p w14:paraId="68FF14AD" w14:textId="008741CA" w:rsidR="002858AE" w:rsidRPr="00E97E0B" w:rsidRDefault="002858AE" w:rsidP="002858AE">
      <w:pPr>
        <w:spacing w:before="120" w:after="120" w:line="360" w:lineRule="auto"/>
        <w:ind w:firstLine="720"/>
        <w:jc w:val="both"/>
        <w:rPr>
          <w:rFonts w:ascii="Times" w:eastAsia="Calibri" w:hAnsi="Times" w:cs="Times New Roman"/>
          <w:iCs/>
          <w:sz w:val="24"/>
          <w:szCs w:val="24"/>
        </w:rPr>
      </w:pPr>
      <w:r w:rsidRPr="00E97E0B">
        <w:rPr>
          <w:rFonts w:ascii="Times" w:eastAsia="Calibri" w:hAnsi="Times" w:cs="Times New Roman"/>
          <w:iCs/>
          <w:sz w:val="24"/>
          <w:szCs w:val="24"/>
        </w:rPr>
        <w:t>Kürt kökenli vatandaşlar ifadesi ise Kürtlerin anayasal çerçevedeki tanımını da referans alıyor görünmektedir. Erdoğan, Kürt sorunu kavramını siyaset sahnesine en çok taşıyan siyasi aktörlerden biri olmakla birlikte, meseleyi ulus-devlet çatısı altında ve eşit vatandaşlık çerçevesinde çözmek istemektedir. Buna göre, her ne kadar Anayasa, Kürtleri de Türk vatandaşı olarak tanımlıyor olsa da bu kavramsallaştırmayı konuşmacının esnetebildiği görülmektedir. Ancak hukuken “Türk” olan Kürtlerin, Kürt olarak tanımlanma taleplerini de dikkate alan Erdoğan’ın, bu kavramın kullanılmasına itirazının olmadığı anlaşılmaktadır. Bununla birlikte, devletin resmi tanımlamasının kapsamına da uygun olarak görülebilecek Kürt</w:t>
      </w:r>
      <w:r w:rsidR="00BA09BB" w:rsidRPr="00E97E0B">
        <w:rPr>
          <w:rFonts w:ascii="Times" w:eastAsia="Calibri" w:hAnsi="Times" w:cs="Times New Roman"/>
          <w:iCs/>
          <w:sz w:val="24"/>
          <w:szCs w:val="24"/>
        </w:rPr>
        <w:t xml:space="preserve"> </w:t>
      </w:r>
      <w:r w:rsidRPr="00E97E0B">
        <w:rPr>
          <w:rFonts w:ascii="Times" w:eastAsia="Calibri" w:hAnsi="Times" w:cs="Times New Roman"/>
          <w:iCs/>
          <w:sz w:val="24"/>
          <w:szCs w:val="24"/>
        </w:rPr>
        <w:t xml:space="preserve">kökenli Türk vatandaşları tanımıyla da örtüşen bir ifade burada kullanılmıştır. Tabii ki doğrudan Kürt ifadesini de hem bu konuşmasında hem de başkaca konuşmalarında sık görüldüğü Erdoğan, bu ifadeyi Demokratik Açılım sürecinin başlarında milliyetçi söylemin baskın olduğu kamuoyunu da alıştırmak maksadıyla daha dikkatli bir biçimde kullanmayı tercih etmiş olabilir.  </w:t>
      </w:r>
    </w:p>
    <w:p w14:paraId="1CC927E9" w14:textId="77777777" w:rsidR="002858AE" w:rsidRPr="00E97E0B" w:rsidRDefault="002858AE" w:rsidP="002858AE">
      <w:pPr>
        <w:spacing w:before="120" w:after="120" w:line="360" w:lineRule="auto"/>
        <w:ind w:firstLine="720"/>
        <w:jc w:val="both"/>
        <w:rPr>
          <w:rFonts w:ascii="Times" w:eastAsia="Calibri" w:hAnsi="Times" w:cs="Times New Roman"/>
          <w:iCs/>
          <w:sz w:val="24"/>
          <w:szCs w:val="24"/>
        </w:rPr>
      </w:pPr>
      <w:r w:rsidRPr="00E97E0B">
        <w:rPr>
          <w:rFonts w:ascii="Times" w:eastAsia="Calibri" w:hAnsi="Times" w:cs="Times New Roman"/>
          <w:iCs/>
          <w:sz w:val="24"/>
          <w:szCs w:val="24"/>
        </w:rPr>
        <w:t xml:space="preserve">Sonraki cümlede kimlik siyasetine değinildiği görülmektedir. Burada bir dil sürçmesi olduğunu düşünülebilir, zira “kimlik siyaseti noktasından (bakımından) kimlikleri tanınmıyor” şeklinde bir alıntı yaptıktan sonra, bunun doğru olmadığını söylemiştir. Burada muhtemel kasıt, kimliklerinin tanınmadığı iddiasına yer vermiş </w:t>
      </w:r>
      <w:r w:rsidRPr="00E97E0B">
        <w:rPr>
          <w:rFonts w:ascii="Times" w:eastAsia="Calibri" w:hAnsi="Times" w:cs="Times New Roman"/>
          <w:iCs/>
          <w:sz w:val="24"/>
          <w:szCs w:val="24"/>
        </w:rPr>
        <w:lastRenderedPageBreak/>
        <w:t xml:space="preserve">olmasıdır, ancak bu iddianın doğru olmadığını söyleyen konuşmacı, bunun yanlışlığı konusunda şahsını, mensup olduğu kurumun da önüne koymak suretiyle teminat vermiştir. Burada kişisel politik yaklaşımın henüz gerçekten kurumsallaşmadığı gibi bir yorum yapılabilir. Bu kişisel politik yaklaşım çerçevesinde, her ne kadar kimlikleri tanıma eğilimi olsa da bunun kurumsal düzeyde ne kadar yerleştiği konusundaki şüpheleri olduğunu akla getirmektedir. Konuşmada, öncesindeşahsının böyle düşündüğünü ve ardından bunun bir parti politikası olduğunu söylemiştir. Bunun aynı zamanda o dönemde merkez sağ partisi olan Ak Parti’de lider-parti bütünleşmesinin düzeyi hakkında da bir fikir verebileceği söylenebilir, fakat partide meseleye kendisi gibi yaklaşmayanların olması nedeniyle bu çelişik görünümlü iki ifadenin üst üste geldiği şeklinde de anlaşılabilir. Bu açıdan, söylemin, lider odaklı parti anlayışının güçlü olduğu varsayılabilecek Ak Parti’de liderin bir ısrar içerdiği anlaşılabilir. Başvurulan karşı gerçeklik kategorisi, iddiayı çürütmeye yönelik argümanlarla desteklenmiştir, fakat hak taleplerinin tamamı dile getirilmemiştir.  Bunun yerine, kimliğe dair ihtiyaçları karşılamayacağı halde karşılıyacakmışçasına, TRT 6 ve hapishanelerde mahkumlarla ziyaretçilerin Kürtçe konuşabilmesine izin verilmesi gibi, hak talepleriyle ilgili sembolik nitelikte olan bazı gelişmeler, oldukça dar bir çerçevede örneklendirilmiştir. Kürtçenin bir dil olarak öğrenilmesi için kurs açılmasına izin verilmesi ise tamamen semboliktir, çünkü Kürtlerin temel sorunu Kürtçeyi öğrenmek değil, fiilî bir durum olarak karşımıza çıkan sorun, anadili Kürtçe olan insanların devletin hizmetlerine ve piyasanın imkanlarına eşit ve makul düzeyde erişim noksanlığı ve Kürtçe konuşan veya yeterince Türkçe bilmeyenlerin önündeki engeller ile ilgilidir. Kürtçe bilmeyenlerin veya öğrenmek isteyenlerin bunu öğrenebilmesi meselesi sadece bu dilin yasaklanmasını kaldırmak bakımından bir sosyal mesaj içermesi açısından mühimdir, ancak semboliktir. Diğer taraftan, TRT 6, hem devletin alternatif Kürtçe yayınların farklı ideolojik etkilerine karşı bir tedbir ve odak olması, hem de Kürt kimliğinin tanınması yönünde bir adımı olarak görülebilir. Burada meselenin geniş çerçevesine rağmen yapılan icraatlar dışında kalan konuları konuşmayarak pek çok farklı, ancak yanıt bulmayacak talebin üzerini kapatmak söz konusu olmuştur. Ayrıca, vatandaşlık temelli hak tanımayı ve kanunen eşit olma anlayışını güçlü bir şekilde savunan konuşmacı, bu teorik zeminde, halihazırda Türkiye Cumhuriyeti vatandaşı olan her Kürt’ün zaten bir Türk ile eşit haklara sahip olduğunu bilmektedir. Bu, Erdoğan’ın yapmış olduğu bir değişiklik değildir. Bu </w:t>
      </w:r>
      <w:r w:rsidRPr="00E97E0B">
        <w:rPr>
          <w:rFonts w:ascii="Times" w:eastAsia="Calibri" w:hAnsi="Times" w:cs="Times New Roman"/>
          <w:iCs/>
          <w:sz w:val="24"/>
          <w:szCs w:val="24"/>
        </w:rPr>
        <w:lastRenderedPageBreak/>
        <w:t>nedenle, konuşmada, Erdoğan bir siyasî olarak değiştirmiş olduğu noktaları vurgulamak istemiştir, denilebilir. Burada Erdoğan ve partisinin döneminde, demokratikleşme yolunda çoğu sembolik de olsa atılmış, önemi büyük olan adımlar ve kat edilen yol vurgulanmak istenmiştir, ancak burada bunu yapılanlara değinmeden, bir kural ifadesine başvurarak yapmakla yetinmiştir. Bunun nedeni Ak Parti döneminde yapılmış olan icraatları zaten dinleyicinin takdir ettiğini varsayması olabilir.</w:t>
      </w:r>
    </w:p>
    <w:p w14:paraId="6C0CE12B" w14:textId="77777777" w:rsidR="002858AE" w:rsidRPr="00E97E0B" w:rsidRDefault="002858AE" w:rsidP="002858AE">
      <w:pPr>
        <w:spacing w:before="120" w:after="120" w:line="360" w:lineRule="auto"/>
        <w:ind w:firstLine="720"/>
        <w:jc w:val="both"/>
        <w:rPr>
          <w:rFonts w:ascii="Times" w:eastAsia="Calibri" w:hAnsi="Times" w:cs="Times New Roman"/>
          <w:iCs/>
          <w:sz w:val="24"/>
          <w:szCs w:val="24"/>
        </w:rPr>
      </w:pPr>
      <w:r w:rsidRPr="00E97E0B">
        <w:rPr>
          <w:rFonts w:ascii="Times" w:eastAsia="Calibri" w:hAnsi="Times" w:cs="Times New Roman"/>
          <w:iCs/>
          <w:sz w:val="24"/>
          <w:szCs w:val="24"/>
        </w:rPr>
        <w:t xml:space="preserve">Ak Parti politikası olarak gösterilen Kürt kimliğini tanıma ifadesi, bir sonraki kural ifadesi olan üst ve çatı kimlikte birleşme ile bütünleşerek anlam kazanmaktadır. Burada hem Ak Parti’nin kendine özgü bir özelliği olarak ön plana çıkarılan Kürt kimliğini tanıma unsuru, hem de bu tanımanın devlet merkezli sınırı olan üst kimlik aynı anda sunulmaktadır. Bu açıdan, ifadenin içerdiği anlam ve yapısal sınır bir kural ifadesiyle oluşturulurken, diğer taraftan mümkün alternatifler içinde Kürt kimliğini tanıyan alternatifin, Erdoğan ve partisi olduğu yönündedir. Bu aynı zamanda bir yasallık sınırını da ihtiva etmektedir. Buna ilaveten konuşmacı “bütünleşeceğiz” derken, bir kanı birliğini veya dinleyiciyi uzlaşmaya ikna ve kanalize etme amacını taşımaktadır. </w:t>
      </w:r>
    </w:p>
    <w:p w14:paraId="4527326C" w14:textId="77777777" w:rsidR="002858AE" w:rsidRPr="00E97E0B" w:rsidRDefault="002858AE" w:rsidP="002858AE">
      <w:pPr>
        <w:spacing w:before="120" w:after="120" w:line="360" w:lineRule="auto"/>
        <w:ind w:firstLine="720"/>
        <w:jc w:val="both"/>
        <w:rPr>
          <w:rFonts w:ascii="Times" w:eastAsia="Calibri" w:hAnsi="Times" w:cs="Times New Roman"/>
          <w:iCs/>
          <w:sz w:val="24"/>
          <w:szCs w:val="24"/>
        </w:rPr>
      </w:pPr>
      <w:r w:rsidRPr="00E97E0B">
        <w:rPr>
          <w:rFonts w:ascii="Times" w:eastAsia="Calibri" w:hAnsi="Times" w:cs="Times New Roman"/>
          <w:iCs/>
          <w:sz w:val="24"/>
          <w:szCs w:val="24"/>
        </w:rPr>
        <w:t>Cezaevlerindeki Kürtçe engeli hakkında konuşmacı, üstü kapalı olarak bu konuda önceden bilgisinin olmadığını ve kendisine sonradan söylediğini kastedecek şekilde “söylendi” ifadesini kullanmaktadır. Bu vurguyu tekrar etme ihtiyacı, talebin insanî yönünün baskın olmasından kaynaklanıyor olabilir, zira bu cümle 2009’da kullanılmıştır, bunu bilmiyor olması bu kadar uzun süre bu yasağı kaldırmamasına bir gerekçe olabileceğinden ve bu şekilde bu politikanın seçmende güven oluşturabilmesini sağlamak, ancak bunu bilmemenin mümkün olabileceği sebebiyle, bu vurgu tekrarlanmış olabilir.</w:t>
      </w:r>
      <w:r w:rsidRPr="00E97E0B">
        <w:rPr>
          <w:rFonts w:ascii="Times" w:eastAsia="Calibri" w:hAnsi="Times" w:cs="Times New Roman"/>
          <w:iCs/>
          <w:sz w:val="24"/>
          <w:szCs w:val="24"/>
          <w:vertAlign w:val="superscript"/>
        </w:rPr>
        <w:footnoteReference w:id="363"/>
      </w:r>
    </w:p>
    <w:p w14:paraId="0BC62032" w14:textId="0C3C36EE" w:rsidR="002858AE" w:rsidRPr="00E97E0B" w:rsidRDefault="002858AE" w:rsidP="002858AE">
      <w:pPr>
        <w:spacing w:before="120" w:after="120" w:line="360" w:lineRule="auto"/>
        <w:ind w:firstLine="720"/>
        <w:jc w:val="both"/>
        <w:rPr>
          <w:rFonts w:ascii="Times" w:eastAsia="Calibri" w:hAnsi="Times" w:cs="Times New Roman"/>
          <w:iCs/>
          <w:sz w:val="24"/>
          <w:szCs w:val="24"/>
        </w:rPr>
      </w:pPr>
      <w:r w:rsidRPr="00E97E0B">
        <w:rPr>
          <w:rFonts w:ascii="Times" w:eastAsia="Calibri" w:hAnsi="Times" w:cs="Times New Roman"/>
          <w:iCs/>
          <w:sz w:val="24"/>
          <w:szCs w:val="24"/>
        </w:rPr>
        <w:t>Erdoğan’ın cümlelerinde kullandığı “kardeşim” ifadesini diğer kullandığı yerlere bakıldığında, bir tahakküm ilişkisine göndermede bulunduğu iddia edilebilir.</w:t>
      </w:r>
      <w:r w:rsidRPr="00E97E0B">
        <w:rPr>
          <w:rFonts w:ascii="Times" w:eastAsia="Calibri" w:hAnsi="Times" w:cs="Times New Roman"/>
          <w:iCs/>
          <w:sz w:val="24"/>
          <w:szCs w:val="24"/>
          <w:vertAlign w:val="superscript"/>
        </w:rPr>
        <w:footnoteReference w:id="364"/>
      </w:r>
      <w:r w:rsidRPr="00E97E0B">
        <w:rPr>
          <w:rFonts w:ascii="Times" w:eastAsia="Calibri" w:hAnsi="Times" w:cs="Times New Roman"/>
          <w:iCs/>
          <w:sz w:val="24"/>
          <w:szCs w:val="24"/>
        </w:rPr>
        <w:t xml:space="preserve"> Fakat mesele burada Türk ve Kürt kimliklerinin kardeşliği bağlamında ele alınmaya </w:t>
      </w:r>
      <w:r w:rsidRPr="00E97E0B">
        <w:rPr>
          <w:rFonts w:ascii="Times" w:eastAsia="Calibri" w:hAnsi="Times" w:cs="Times New Roman"/>
          <w:iCs/>
          <w:sz w:val="24"/>
          <w:szCs w:val="24"/>
        </w:rPr>
        <w:lastRenderedPageBreak/>
        <w:t>daha uygundur. Söz konusu kardeşlik, illâ ki bir hiyerarşik sıralama içermek durumunda olmadığı gibi, kitleyle yakınlık kurma aracı olduğu düşünülebilir. “Kardeşim” ifadesi, yalnızca Kürt kimliğine yönelik değil, devleti temsil etmesi hasebiyle bizzat kendi etnik aidiyeti olan Türk kimliğine yönelik olarak da kullanılmış ve diğer etnik gruplar da bir arada anılmıştır. Burada en fazla bir devlet başkanı ve dolayısıyla merkezi otoritenin temsilcisi olarak devlet-vatandaş ilişkisi bakımından bir tabiyet ilişkisinin kurulduğu, bu anlamda asimetrik bir algı oluşturulduğu söylenebilir ki sağ ve muhafazakâr bir lider olan Erdoğan’ın bu tür bir söylemi benimsemesi doğal ve alışıldık karşılanabilir. Bununla beraber, tüm etnik unsurları saygın olarak tanımlayan bu ifade, hepsini eşitleyen bir söylemsel stratejiyi de içeriyor gibi görünmektedir. Bununla birlikte, Kürt sorununa değinirken onu diğer etnik gruplarla ve onların sorunlarıyla karşılaştırmak bağlamla yeterince uyumlu değildir. Zira Kürt nüfusun sayısal çoğunluğu ve bu bağlamda çok daha büyük bir nüfusun devlet açısından teşkil edeceği zorluk diğer etnik grupların sorunlarına yönelik çözüm adımlarının neden olabileceği maliyetle kıyaslanamaz ölçüdedir. Örneğin, yalnızca mahkemelerde Kürtçe bilen yargılama yapabilecek hâkim bulundurulması, anadilde eğitim talebinin karşılanmasının kararlaştırılması durumunda istihdam edilecek kadronun yetiştirilmesi ve istihdam edilmesi bile tek başına önemli bir maliyet ve zaman gerektirecektir. Resmî belgelerin ve pek çok materyalin çıkarılması durumunda ise çoğu durumda iki dilli belge hazırlanması gerekecektir. Bu nedenle, bu sorunları homojenleştiren söylem, Kürt sorunuyla ilgili ele alınabilecek çözüme yönelik icraatların sınırlı olacağının sinyalini içeriyor denilebilir. Bunu, 2011’de “</w:t>
      </w:r>
      <w:r w:rsidRPr="00E97E0B">
        <w:rPr>
          <w:rFonts w:ascii="Times" w:eastAsia="Calibri" w:hAnsi="Times" w:cs="Times New Roman"/>
          <w:i/>
          <w:iCs/>
          <w:sz w:val="24"/>
          <w:szCs w:val="24"/>
        </w:rPr>
        <w:t>Güneydoğu Anadolu’da istismar kokan politikaları bu ülkede sadece biz çökertebiliriz. Bu ülkede Kürt meselesi artık yoktur, benim Kürt kardeşlerimin meseleleri vardır. Bu ülkede Kürt kardeşlerimin istismarı vardır</w:t>
      </w:r>
      <w:r w:rsidRPr="00E97E0B">
        <w:rPr>
          <w:rFonts w:ascii="Times" w:eastAsia="Calibri" w:hAnsi="Times" w:cs="Times New Roman"/>
          <w:iCs/>
          <w:sz w:val="24"/>
          <w:szCs w:val="24"/>
        </w:rPr>
        <w:t>” sözleriyle Kürt Sorunu kavramsallaştırmasını artık kabul etmediğini ve soruna daha güvenlikçi bir perspektifle yaklaşılacağını gösteren bu alıntı desteklemektedir.</w:t>
      </w:r>
      <w:r w:rsidRPr="00E97E0B">
        <w:rPr>
          <w:rFonts w:ascii="Times" w:eastAsia="Calibri" w:hAnsi="Times" w:cs="Times New Roman"/>
          <w:iCs/>
          <w:sz w:val="24"/>
          <w:szCs w:val="24"/>
          <w:vertAlign w:val="superscript"/>
        </w:rPr>
        <w:footnoteReference w:id="365"/>
      </w:r>
      <w:r w:rsidRPr="00E97E0B">
        <w:rPr>
          <w:rFonts w:ascii="Times" w:eastAsia="Calibri" w:hAnsi="Times" w:cs="Times New Roman"/>
          <w:iCs/>
          <w:sz w:val="24"/>
          <w:szCs w:val="24"/>
        </w:rPr>
        <w:t xml:space="preserve"> Kavramsallaştırmanın bir diğer boyutu ise toplumsal olan bir sorunu fert düzeyine indirgemeyi içermektedir ve sorunun başta dile getirildiği haliyle konuşmacı tarafından hangi sınırlar dahlinde algıladığını göstermektedir. “İstismar kokan politikalar” teşbihi ile kastedilen ötekinin siyasi bir öteki olmakla </w:t>
      </w:r>
      <w:r w:rsidRPr="00E97E0B">
        <w:rPr>
          <w:rFonts w:ascii="Times" w:eastAsia="Calibri" w:hAnsi="Times" w:cs="Times New Roman"/>
          <w:iCs/>
          <w:sz w:val="24"/>
          <w:szCs w:val="24"/>
        </w:rPr>
        <w:lastRenderedPageBreak/>
        <w:t>beraber, Kürt toplumunu doğrudan kastetmediği anlaşılmaktadır. Ancak bu ötekinin Kürt toplumunun bir kısmının benimsediği siyasi aktörler olduğu açıktır. Kürtlerin kendileri doğrudan öteki konumuna oturtulmasa da onların bir kısmının siyasi iradesi dışlanmaktadır. Hatta siyasi iradeleri “kötü koksa da” istismarla suçlanan siyasiler, söz konusu kesimi kullanıyor konumundadır. Bu konumlama ise muğlak bir ötekileştirmeyi barındırmaktadır.</w:t>
      </w:r>
    </w:p>
    <w:p w14:paraId="4ACDD22A" w14:textId="3D088191" w:rsidR="002858AE" w:rsidRPr="00E97E0B" w:rsidRDefault="002858AE" w:rsidP="002858AE">
      <w:pPr>
        <w:spacing w:before="120" w:after="120" w:line="360" w:lineRule="auto"/>
        <w:ind w:firstLine="720"/>
        <w:jc w:val="both"/>
        <w:rPr>
          <w:rFonts w:ascii="Times" w:eastAsia="Calibri" w:hAnsi="Times" w:cs="Times New Roman"/>
          <w:iCs/>
          <w:sz w:val="24"/>
          <w:szCs w:val="24"/>
        </w:rPr>
      </w:pPr>
      <w:r w:rsidRPr="00E97E0B">
        <w:rPr>
          <w:rFonts w:ascii="Times" w:eastAsia="Calibri" w:hAnsi="Times" w:cs="Times New Roman"/>
          <w:iCs/>
          <w:sz w:val="24"/>
          <w:szCs w:val="24"/>
        </w:rPr>
        <w:t>“Yaradılanı Yaradan’dan ötürü severiz” alıntısı, klasik din anlayışının yanında oldukça hümanist bir tonu barındırsa ve bu anlamda din anlayışı açısından geniş bir çerçeveye işaret etse de siyasi bir söylem için belirgin bir inanç vurgusu anlamına gelmektedir. Bu alıntı, Ak Parti’nin sünnilik çatısı üzerinden Kürtlerle kurmaya çalıştığı bağı açığa vurmaktadır. Burada geçen fadeyi benimsemek aynı zamanda koşullu bir sevgiyi çağrıştırması bakımından önemlidir. Bu, hem meşhur tarihsel bir değer olarak kabul edilen Yunus Emre’ye atıf yapmak bakımından bir ulusal övüncü hem de bir genelleme üzerinden kurulmaya çalışılan bir bağı göstermektedir.</w:t>
      </w:r>
    </w:p>
    <w:p w14:paraId="55047158" w14:textId="77777777" w:rsidR="002858AE" w:rsidRPr="00E97E0B" w:rsidRDefault="002858AE" w:rsidP="002858AE">
      <w:pPr>
        <w:spacing w:before="120" w:after="120" w:line="24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“…Bugün baharın başladığı, toprağın dirildiği gün. Bugün tazelenmenin, bugün yenilenmenin, bugün dirilişin günü. Bugünü bütün milletimizle el ele, gönül gönüle kutlayacağız. Birbirimize her zamankinden daha sıkı sarılacağız, daha sıkı kenetleneceğiz. Bütün unsurlarımızı, bütün farklılıklarımızı bu toprağın, bu vatanın asli unsuru olarak göreceğiz, bağrımıza basacağız. (Kardeşlik) Dinsel milliyetçilik yapmayacağız. Etnik milliyetçilik yapmayacağız. Bölgesel milliyetçilik yapmayacağız. (Kardeşlik) Birlik içinde, bütünlük içinde, kardeşliğimizi muhafaza ederek ortak geleceğimizi şekillendirmeye devam edeceğiz. Millet olarak bunun en iyi örneklerinden birini, üç gün önce yıldönümünü idrak ettiğimiz Çanakkale Zaferi’nde sergiledik. 94 yıl önce, Çanakkale’de bu topraklar yeni bir ruh kazandı. (Ulusal Övünç, Ders Olarak Tarih) Şimdi aynı dayanışma, aynı ruh birlikteliği içinde bu vatana, bu ülkeye sonsuza dek sahip çıkma günüdür. (Durum Tanımı) Vatanımız, ülkemiz, bayrağımız, istikalalimiz ve istikbalimiz birdir, ortaktır; bunu asla unutmayacağız. Türkiye Cumhuriyeti’nin vatandaşı olma onurunu, şerefini, haysiyetini 71 buçuk milyon vatandaşımızla birlikte yürekten paylaşıyoruz. Artvin’den Çanakkale’ye, Hakkâri’den Muğla’ya, Sinop’tan Mersin’e, İstanbul’dan Elazığ’a kadar heyecanlarımız, taleplerimiz bir.  Kederimiz de bir, sevincimiz de bir, kaderimiz de bir. Hiçbir değerimizi birbiriyle çarpıştırmıyoruz, çarpıştırmayacağız. (Kanı Birliği) Bütün değerlerimize aynı samimiyetle sahip çıkıyoruz, bundan sonra da aynı samimiyetle sahip çıkacağız. Türkiye’nin 81 vilayetini aynı şekilde kalkındıracak, 780 bin kilometrekareye eşit hizmet götürecek, 71 buçuk milyon vatandaşımızın adil şekilde refaha ulaşmasını sağlayacağız. (Durum Tanımı, Kardeşlik) Türkiye bunu başarabilir, Türkiye bunu başarıyor… Yeter ki aramıza nifak sokmaya çalışan, bizi birbirimize düşürenlere karşı tek yürek olalım. Yeter ki bu toprakların binlerce yıldır devam eden kardeşliğini, huzuru bozmaya çalışanlara karşı yekvücut olalım. (Kutuplaştırma, Ötekini Kötü Gösterme, Kardeşlik, Örtüklük) Yeter ki, ayırıcı bir dil değil, birleştirici bir dil, birleştirici bir üslup kullanalım. Değerli kardeşlerim… TRT, </w:t>
      </w:r>
      <w:r w:rsidRPr="00E97E0B">
        <w:rPr>
          <w:rFonts w:ascii="Times New Roman" w:eastAsia="Calibri" w:hAnsi="Times New Roman" w:cs="Times New Roman"/>
          <w:iCs/>
          <w:sz w:val="24"/>
          <w:szCs w:val="24"/>
        </w:rPr>
        <w:lastRenderedPageBreak/>
        <w:t>Ocak ayında çok önemli bir açılım yaptı ve TRT 6 adıyla Kürtçe yayına başladı. Bu yeni kanal da, Türkçe olarak tüm Türk dünyasına sesleniyor. Bosna-Hersek’ten Çin’e; Yunanistan’dan Kazakistan’a, Sırbistan’dan Afganistan’a, Gürcistan’dan Türkmenistan’a Macaristan’dan Moğolistan’a kadar çok geniş bir coğrafyada soydaşlarımıza, kardeşlerimize, akrabalarımıza, dostlarımıza artık Türkçe bir televizyon kanalıyla ulaşıyoruz…”</w:t>
      </w:r>
      <w:r w:rsidRPr="00E97E0B">
        <w:rPr>
          <w:rFonts w:ascii="Times New Roman" w:eastAsia="Calibri" w:hAnsi="Times New Roman" w:cs="Times New Roman"/>
          <w:iCs/>
          <w:sz w:val="24"/>
          <w:szCs w:val="24"/>
          <w:vertAlign w:val="superscript"/>
        </w:rPr>
        <w:footnoteReference w:id="366"/>
      </w:r>
    </w:p>
    <w:p w14:paraId="267D1FE0" w14:textId="77777777" w:rsidR="002858AE" w:rsidRPr="00E97E0B" w:rsidRDefault="002858AE" w:rsidP="002858AE">
      <w:pPr>
        <w:spacing w:before="120" w:after="120" w:line="360" w:lineRule="auto"/>
        <w:ind w:firstLine="720"/>
        <w:jc w:val="both"/>
        <w:rPr>
          <w:rFonts w:ascii="Times" w:eastAsia="Calibri" w:hAnsi="Times" w:cs="Times New Roman"/>
          <w:iCs/>
          <w:sz w:val="24"/>
          <w:szCs w:val="24"/>
        </w:rPr>
      </w:pPr>
      <w:r w:rsidRPr="00E97E0B">
        <w:rPr>
          <w:rFonts w:ascii="Times" w:eastAsia="Calibri" w:hAnsi="Times" w:cs="Times New Roman"/>
          <w:iCs/>
          <w:sz w:val="24"/>
          <w:szCs w:val="24"/>
        </w:rPr>
        <w:t>Konuşmacı bu konuşma kesitinde, ilk olarak kardeşlik ve birlik temalarıyla başlamaktadır. Kullanılan bu temalar, Türklerin de geleneksel olarak kutladığı, ancak Kürt kimliğiyle daha çok özdeşleşen Nevruz Bayramı’nı kutlamayı da içermektedir. Bu noktada, Kürt kimliğine yönelik olumlu bir mesajla birleşen bir ulusal birlik çağrısını içermektedir. Kenetlenmek ve sarılmak gibi kavramlar gelecek zaman kipinde kullanılmakta ve devamında kendi tabiriyle yaygın üç milliyetçilik türü; dinsel, etnik ve bölgesel milliyetçilik yine gelecek zaman kipiyle reddedilmektedir. Buradaki milliyetçilik kelimesinin anlamı günlük dil kullanımında mevcuttur. Buradaki üç unsurdan herhangi birine dayalı bir ayrımcılıktan bahseden konuşmacı, bu türden bir ayrımcılığa karşı olmayı kastetmektedir.  Bu mesaj, aynı zamanda bunun bugüne kadar yeterince gerçekleşmediği kabulünü de içermektedir. Konuşmacının mesajı, bir taraftan önceki hükümetlere dolaylı bir gönderme olarak yorumlanmaya diğer açıdan ise dolaylı bir öz eleştiri olarak anlaşılmaya müsaittir. Zira Erdoğan’ın söylemlerinde sıklıkça Kürt meselesi hakkında CHP’nin Kürt sorunu kaynaklı teröre zemin oluşturduğuna dair ifadeler kullandığı, buna paralel olarak BDP’yi (Barış ve Demokrasi Partisi) de aynı sorunun merkezine oturttuğu görülmektedir.</w:t>
      </w:r>
      <w:r w:rsidRPr="00E97E0B">
        <w:rPr>
          <w:rFonts w:ascii="Times" w:eastAsia="Calibri" w:hAnsi="Times" w:cs="Times New Roman"/>
          <w:iCs/>
          <w:sz w:val="24"/>
          <w:szCs w:val="24"/>
          <w:vertAlign w:val="superscript"/>
        </w:rPr>
        <w:footnoteReference w:id="367"/>
      </w:r>
      <w:r w:rsidRPr="00E97E0B">
        <w:rPr>
          <w:rFonts w:ascii="Times" w:eastAsia="Calibri" w:hAnsi="Times" w:cs="Times New Roman"/>
          <w:iCs/>
          <w:sz w:val="24"/>
          <w:szCs w:val="24"/>
        </w:rPr>
        <w:t xml:space="preserve"> Burada bir taraftan, birlik ve kardeşlik mesajı diğer taraftan da Türkleri ve Kürtleri ortaklaştıran Cumhuriyet’ten bile eski Çanakkale Savaşı, önemi büyük bir tarihsel referans olarak kullanılmıştır. Ulusal övünç kaynağı ve tarihe dayalı birlik dersi, kardeşlik temasını güçlendirmek için başvurulan temalardır. Burada hedeflenen ise ulusal birliğin bileşenleri olarak kardeşlik ve tarihsel birlik ve övüncün sunulmasıdır. Nevruz ile Çanakkale Zaferi’nin yıl dönümlerinin birbirine yakın tarihlerde olmasından yararlanılarak hem Türklerin hem de Kürtlerin gözünde değeri büyük olan bu özel günler anılmıştır. Devamında gelen durum tanımı içeren cümlede iseanlamca çelişen </w:t>
      </w:r>
      <w:r w:rsidRPr="00E97E0B">
        <w:rPr>
          <w:rFonts w:ascii="Times" w:eastAsia="Calibri" w:hAnsi="Times" w:cs="Times New Roman"/>
          <w:iCs/>
          <w:sz w:val="24"/>
          <w:szCs w:val="24"/>
        </w:rPr>
        <w:lastRenderedPageBreak/>
        <w:t xml:space="preserve">iki zaman kavramı aynı cümle içinde kullanılmıştır: “Bugün” ve “sonsuza dek sahip çıkma günü” ifadeleri zamansal olarak çelişse de söylemde birlik mesajının kuvvetini artırmak için “sonsuzluk” imgesine başvurulmuştur. Sonsuzluğun anlamı aynı zamanda kalıcılığı, değişmezliği işaret etmektedir. Ancak bundan da önemlisi, bu ifadenin bir görev yüklüyor olmasıdır. Sahip çıkma görevinin ifasının “bugün” olması konuşmadan birkaç gün sonra gerçekleşecek 29 Mart 2009 yerel seçiminin yaklaşmakta olmasıyla ilişkili görünmektedir. Birliği savunan partinin önerdiği anayasa, doğal olarak birlik için bir onaylama görevini kastetmektedir. Türk siyasal literatüründe sıkça karşımıza çıkan “zamanlama manidar” ifadesinde olduğu gibi, burada da bir durumun ortaya çıkmasını veya yapılması gerektiği söylenecek bir davranışı şimdiki zamanla ilişkilendirmek aslında kitleleri motive ve seferber etmek üzere başvurulan olağan bir söylem tarzının tekrarıdır. </w:t>
      </w:r>
    </w:p>
    <w:p w14:paraId="293CA539" w14:textId="77777777" w:rsidR="002858AE" w:rsidRPr="00E97E0B" w:rsidRDefault="002858AE" w:rsidP="002858AE">
      <w:pPr>
        <w:spacing w:before="120" w:after="120" w:line="360" w:lineRule="auto"/>
        <w:ind w:firstLine="720"/>
        <w:jc w:val="both"/>
        <w:rPr>
          <w:rFonts w:ascii="Times" w:eastAsia="Calibri" w:hAnsi="Times" w:cs="Times New Roman"/>
          <w:iCs/>
          <w:sz w:val="24"/>
          <w:szCs w:val="24"/>
        </w:rPr>
      </w:pPr>
      <w:r w:rsidRPr="00E97E0B">
        <w:rPr>
          <w:rFonts w:ascii="Times" w:eastAsia="Calibri" w:hAnsi="Times" w:cs="Times New Roman"/>
          <w:iCs/>
          <w:sz w:val="24"/>
          <w:szCs w:val="24"/>
        </w:rPr>
        <w:t xml:space="preserve">Kesitte devam eden, ortak olan ve vatandaşlarca paylaşılan ülkenin refahına dair gelecek zaman kipinde bir genel manzara çizilmektedir. İç grup, tüm Türk vatandaşları olarak kavramsallaştırılmıştır, fakatbundan sonra kimliği açıkça belirtilmemekle birlikte “nifak sokmaya çalışanlardan” söz edilmiştir ve bu gruba karşı birleşme çağrısı yapılmıştır. Birleşme, bir ötekine karşı hareket etmek içindir ancak bu öteki örtülü olarak dile getirilmiştir. Erdoğan’ın söylemlerinin genelinden de çıkarılabileceği gibi, bu öteki Türk vatandaşları ve Kürtler değildir, ama bu kavramsallaştırma yine çoğunluğu Türk vatandaşı olan ve bazıları Kürt olan kimselerdir. Zira dış unsurlardan bu kesitlerde söz etmediği gibi, ülke içi unsurlar bu noktada birliğe zarar getirmekten sorumlu tutulmaktadır. Dolayısıyla bu kişiler de ülkenin vatandaşlarıdır. </w:t>
      </w:r>
    </w:p>
    <w:p w14:paraId="169B552D" w14:textId="77777777" w:rsidR="002858AE" w:rsidRPr="00E97E0B" w:rsidRDefault="002858AE" w:rsidP="002858AE">
      <w:pPr>
        <w:spacing w:before="120" w:after="120" w:line="360" w:lineRule="auto"/>
        <w:ind w:firstLine="720"/>
        <w:jc w:val="both"/>
        <w:rPr>
          <w:rFonts w:ascii="Times" w:eastAsia="Calibri" w:hAnsi="Times" w:cs="Times New Roman"/>
          <w:iCs/>
          <w:sz w:val="24"/>
          <w:szCs w:val="24"/>
        </w:rPr>
      </w:pPr>
      <w:r w:rsidRPr="00E97E0B">
        <w:rPr>
          <w:rFonts w:ascii="Times" w:eastAsia="Calibri" w:hAnsi="Times" w:cs="Times New Roman"/>
          <w:iCs/>
          <w:sz w:val="24"/>
          <w:szCs w:val="24"/>
        </w:rPr>
        <w:t xml:space="preserve">Ülkeye sahip çıkma gününün “bugün” olması, zamansal bağlam içinde yapılması gereken önemli bir şeye gönderme yapmaktadır. Bu söylemsel strateji, hem konuşmacının partisine mensup veya taraftar olanlara seslenmekte hem de vatandaşlara genel olarak seslenmektedir. Ayrıca, bu gönderme, siyasi olarak iktidar partisini tercih etmeyenlere de yönelen bir çağrı olarak anlaşılmalıdır. Bu çağrı, vatandaş bağıyla bağlanma çağrısı olmakla birlikte kısmî de olsa Kürt kimliğini ve kültürünü tanıma, kabul etme ve bu kimliğe saygı gösterme yönünde bir adım olarak dikkat çekicidir. Öte yandan, bu noktada bir koşul ortaya koyularak açıkça bir çerçeve çizilmektedir. O koşul siyasi ve ulusal birliğin tartışmaya açılmamasıdır. Burada </w:t>
      </w:r>
      <w:r w:rsidRPr="00E97E0B">
        <w:rPr>
          <w:rFonts w:ascii="Times" w:eastAsia="Calibri" w:hAnsi="Times" w:cs="Times New Roman"/>
          <w:iCs/>
          <w:sz w:val="24"/>
          <w:szCs w:val="24"/>
        </w:rPr>
        <w:lastRenderedPageBreak/>
        <w:t>izlenen söylemsel strateji, hem ülkede siyasi ve ulusal bütünlüğün teminini şart koşmakta hem de farklılıkları homojenleştirici bir yaklaşıma dinleyiciyi örtülü bir biçimde yönlendirmektedir. Homojenleştirme, halihazırda Türkiye’nin ulus-devlet inşa sürecinin başlarından beri farklılıkları örtülü inkâr yaklaşımının bir devamı olarak görülmektedir.</w:t>
      </w:r>
      <w:r w:rsidRPr="00E97E0B">
        <w:rPr>
          <w:rFonts w:ascii="Times" w:eastAsia="Calibri" w:hAnsi="Times" w:cs="Times New Roman"/>
          <w:iCs/>
          <w:sz w:val="24"/>
          <w:szCs w:val="24"/>
          <w:vertAlign w:val="superscript"/>
        </w:rPr>
        <w:footnoteReference w:id="368"/>
      </w:r>
      <w:r w:rsidRPr="00E97E0B">
        <w:rPr>
          <w:rFonts w:ascii="Times" w:eastAsia="Calibri" w:hAnsi="Times" w:cs="Times New Roman"/>
          <w:iCs/>
          <w:sz w:val="24"/>
          <w:szCs w:val="24"/>
        </w:rPr>
        <w:t xml:space="preserve"> Bu homojenleştirme, hem tek yürek ve tek vücut olmakla hem de her bir vatandaşın eşit muammele görmesi ile ifadesini bulmaktadır. Bunu, ayrıştırmacı niyetlerle hareket edenler işaret edilerek, aksi yöndeki fikirlerin zararlılığına karşı dile getirilen bir uyarı takip etmektedir. İlaveten, telaffuz edilen iller mümkün mertebe Türkiye’nin farklı yöndeki uçlarından seçilerek kullanılmakta ve en son Elâzığ ilinde son bulmaktadır. Konuşmanın yapıldığı Elâzığ ile konuşmacının ilişkisini güçlendirmek için yapılan bu tercih, dinleyicinin dikkatini de çekmeyi amaçlamaktadır. </w:t>
      </w:r>
    </w:p>
    <w:p w14:paraId="601F4E2D" w14:textId="790D3AA5" w:rsidR="002858AE" w:rsidRPr="00E97E0B" w:rsidRDefault="002858AE" w:rsidP="002858AE">
      <w:pPr>
        <w:spacing w:before="120" w:after="120" w:line="360" w:lineRule="auto"/>
        <w:ind w:firstLine="720"/>
        <w:jc w:val="both"/>
        <w:rPr>
          <w:rFonts w:ascii="Times" w:eastAsia="Calibri" w:hAnsi="Times" w:cs="Times New Roman"/>
          <w:i/>
          <w:sz w:val="24"/>
          <w:szCs w:val="24"/>
        </w:rPr>
      </w:pPr>
      <w:r w:rsidRPr="00E97E0B">
        <w:rPr>
          <w:rFonts w:ascii="Times" w:eastAsia="Calibri" w:hAnsi="Times" w:cs="Times New Roman"/>
          <w:iCs/>
          <w:sz w:val="24"/>
          <w:szCs w:val="24"/>
        </w:rPr>
        <w:t xml:space="preserve">Burada “huzur bozmaya çalışanlar” ifadesi, aslında konuşmanın ötekisinin kimler olduğu noktasında aydınlatıcı niteliktedir. Dikkati çeken en önemli husus, bu ifadenin örtülü olmasıdır. Burada </w:t>
      </w:r>
      <w:r w:rsidR="00F561AC" w:rsidRPr="00E97E0B">
        <w:rPr>
          <w:rFonts w:ascii="Times" w:eastAsia="Calibri" w:hAnsi="Times" w:cs="Times New Roman"/>
          <w:iCs/>
          <w:sz w:val="24"/>
          <w:szCs w:val="24"/>
        </w:rPr>
        <w:t>kastedilen</w:t>
      </w:r>
      <w:r w:rsidRPr="00E97E0B">
        <w:rPr>
          <w:rFonts w:ascii="Times" w:eastAsia="Calibri" w:hAnsi="Times" w:cs="Times New Roman"/>
          <w:iCs/>
          <w:sz w:val="24"/>
          <w:szCs w:val="24"/>
        </w:rPr>
        <w:t xml:space="preserve"> öteki belli olsa da bunu sık sık dile getirmemek özellikle tercih edilmiş görünmektedir. Bu ifade, şu ana kadar incelediğim söylemlerden farklı bir durumdur. Erdoğan, özellikle bu dönemde, seküler Kürt siyasal hareketini ve PKK’yı zikretme konusunda tasarruflu davranmaya dikkat ediyor gibi görünmektedir. Bunun bir nedeni, PKK’nın nihayetinde bir terör örgütü olmasından ötürü muhatap aldığı ve/veya üzerinde durduğu bir aktör olarak göstermek istememesi, diğer taraftan ise Demokratik Açılım bağlamında söylemlerinde sıkça hedef almamak suretiyle daha fazla Kürt’le olumlu bir iletişim kurmak istemiş olması olabilir. Bahsi geçen dönemlerde Oslo görüşmelerinin yapıldığı önemli diğer bir ayrıntıdır. </w:t>
      </w:r>
      <w:r w:rsidRPr="00E97E0B">
        <w:rPr>
          <w:rFonts w:ascii="Times New Roman" w:eastAsia="Calibri" w:hAnsi="Times New Roman" w:cs="Times New Roman"/>
          <w:i/>
          <w:sz w:val="24"/>
          <w:szCs w:val="24"/>
        </w:rPr>
        <w:t xml:space="preserve">“…Bu süreçte kimse bizim karşımıza, Kürtlükle de Türklükle de çıkmasın… Biz her türlü milliyetçiliği ayaklarının altına almış bir iktidarız…” </w:t>
      </w:r>
      <w:r w:rsidRPr="00E97E0B">
        <w:rPr>
          <w:rFonts w:ascii="Times New Roman" w:eastAsia="Calibri" w:hAnsi="Times New Roman" w:cs="Times New Roman"/>
          <w:iCs/>
          <w:sz w:val="24"/>
          <w:szCs w:val="24"/>
        </w:rPr>
        <w:t>diyen Erdoğan’ın konuşmaları milliyetçi muhalefet tarafından tepki almış ve eleştirilmiştir.</w:t>
      </w:r>
      <w:r w:rsidRPr="00E97E0B">
        <w:rPr>
          <w:rFonts w:ascii="Times New Roman" w:eastAsia="Calibri" w:hAnsi="Times New Roman" w:cs="Times New Roman"/>
          <w:iCs/>
          <w:sz w:val="24"/>
          <w:szCs w:val="24"/>
          <w:vertAlign w:val="superscript"/>
        </w:rPr>
        <w:t xml:space="preserve"> </w:t>
      </w:r>
      <w:r w:rsidRPr="00E97E0B">
        <w:rPr>
          <w:rFonts w:ascii="Times New Roman" w:eastAsia="Calibri" w:hAnsi="Times New Roman" w:cs="Times New Roman"/>
          <w:iCs/>
          <w:sz w:val="24"/>
          <w:szCs w:val="24"/>
          <w:vertAlign w:val="superscript"/>
        </w:rPr>
        <w:footnoteReference w:id="369"/>
      </w:r>
      <w:r w:rsidRPr="00E97E0B">
        <w:rPr>
          <w:rFonts w:ascii="Times New Roman" w:eastAsia="Calibri" w:hAnsi="Times New Roman" w:cs="Times New Roman"/>
          <w:iCs/>
          <w:sz w:val="24"/>
          <w:szCs w:val="24"/>
        </w:rPr>
        <w:t xml:space="preserve"> Bu konuşma, 2013 yılında yapılmıştır ancak istisnai olarak Erdoğan’ın milliyetçilikle ilgilibahsi geçen konuşmaların bir devamı, tamamlayıcısı ve daha açık ifadesi niteliğinde olduğundan </w:t>
      </w:r>
      <w:r w:rsidRPr="00E97E0B">
        <w:rPr>
          <w:rFonts w:ascii="Times New Roman" w:eastAsia="Calibri" w:hAnsi="Times New Roman" w:cs="Times New Roman"/>
          <w:iCs/>
          <w:sz w:val="24"/>
          <w:szCs w:val="24"/>
        </w:rPr>
        <w:lastRenderedPageBreak/>
        <w:t>burada yer verilmiştir.</w:t>
      </w:r>
      <w:r w:rsidRPr="00E97E0B">
        <w:rPr>
          <w:rFonts w:ascii="Times" w:eastAsia="Calibri" w:hAnsi="Times" w:cs="Times New Roman"/>
          <w:i/>
          <w:sz w:val="24"/>
          <w:szCs w:val="24"/>
        </w:rPr>
        <w:t xml:space="preserve"> </w:t>
      </w:r>
      <w:r w:rsidRPr="00E97E0B">
        <w:rPr>
          <w:rFonts w:ascii="Times" w:eastAsia="Calibri" w:hAnsi="Times" w:cs="Times New Roman"/>
          <w:iCs/>
          <w:sz w:val="24"/>
          <w:szCs w:val="24"/>
        </w:rPr>
        <w:t>Dinsel, etnik ve bölgesel milliyetçiliğin reddiyesini içeren konuşma, “her türlü milliyetçiliği ayaklar altına alma” söylemiyle örtüşmektedir.</w:t>
      </w:r>
      <w:r w:rsidRPr="00E97E0B">
        <w:rPr>
          <w:rFonts w:ascii="Times New Roman" w:eastAsia="Calibri" w:hAnsi="Times New Roman" w:cs="Times New Roman"/>
          <w:iCs/>
          <w:sz w:val="24"/>
          <w:szCs w:val="24"/>
          <w:vertAlign w:val="superscript"/>
        </w:rPr>
        <w:t xml:space="preserve"> </w:t>
      </w:r>
      <w:r w:rsidRPr="00E97E0B">
        <w:rPr>
          <w:rFonts w:ascii="Times" w:eastAsia="Calibri" w:hAnsi="Times" w:cs="Times New Roman"/>
          <w:iCs/>
          <w:sz w:val="24"/>
          <w:szCs w:val="24"/>
        </w:rPr>
        <w:t xml:space="preserve">Aynı zamanda, bu konuşma, homojenleştirici bir ulus devlet çatısını savunmanın anahtarı olarak görülmüştür. Bununla beraber, nifak sokmakla ve huzur bozmakla eleştirdiği kesime karşı birleşmeye çağırdığı görülmektedir. Bu çağrıda, sayıca daha küçük bir grupla kutuplaştırmak suretiyle, daha büyük bir grubun içinde birlik sağlamak hedeflenmiştir. Etnik, bölgesel ve dinsel milliyetçiliklerin reddi toplumun genelini kapsama amacı taşımakla birlikte, bu vurgunun Kürt milliyetçiliğine yönelik olduğu açıktır, zira her üç tip milliyetçilik de Türkiye’de Kürt milliyetçiliği ile kesişebilecek tür milliyetçiliklerdir. </w:t>
      </w:r>
    </w:p>
    <w:p w14:paraId="2C070258" w14:textId="77777777" w:rsidR="002858AE" w:rsidRPr="00E97E0B" w:rsidRDefault="002858AE" w:rsidP="002858AE">
      <w:pPr>
        <w:spacing w:before="120" w:after="120" w:line="360" w:lineRule="auto"/>
        <w:ind w:firstLine="720"/>
        <w:jc w:val="both"/>
        <w:rPr>
          <w:rFonts w:ascii="Times" w:eastAsia="Calibri" w:hAnsi="Times" w:cs="Times New Roman"/>
          <w:iCs/>
          <w:sz w:val="24"/>
          <w:szCs w:val="24"/>
        </w:rPr>
      </w:pPr>
      <w:r w:rsidRPr="00E97E0B">
        <w:rPr>
          <w:rFonts w:ascii="Times" w:eastAsia="Calibri" w:hAnsi="Times" w:cs="Times New Roman"/>
          <w:iCs/>
          <w:sz w:val="24"/>
          <w:szCs w:val="24"/>
        </w:rPr>
        <w:t xml:space="preserve">Konuşmasında TRT 6 ile Kürtçe yayının önünün açıldığından bahseden Erdoğan, hemen ardından yurtdışına yayın yapan TRT’nin Türkçe kanalından bahsetmiştir. Bu konuşma, kastetmiş olduğu homojenleştirme niyetiyle paralel seyredenbir dil kullanımının olduğunu göstermektedir. Böylece, TRT 6 ve Kürtçe yayın vurgusu, kısmen de olsa diğer yayınlarla eşitlenmiş görünmektedir. Öte yandan, konuşmayı dinleyecek Türk milliyetçisi kesimlerdeki rahatsızlığı da hafifletmeyi amaçlayan bir içerik olarak yorumlanabilir. </w:t>
      </w:r>
    </w:p>
    <w:p w14:paraId="23F1B653"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“İster güvenlik güçlerimiz ve askerlerimiz olsun, ister ona silah doğrultan kandırılmış gençler olsun, hepsi bizim çocuklarımızdır; akmakta olan kan kardeş kanıdır.”</w:t>
      </w:r>
      <w:r w:rsidRPr="00E97E0B">
        <w:rPr>
          <w:rFonts w:ascii="Times New Roman" w:eastAsia="Calibri" w:hAnsi="Times New Roman" w:cs="Times New Roman"/>
          <w:sz w:val="24"/>
          <w:szCs w:val="24"/>
          <w:vertAlign w:val="superscript"/>
        </w:rPr>
        <w:t xml:space="preserve"> </w:t>
      </w:r>
      <w:r w:rsidRPr="00E97E0B">
        <w:rPr>
          <w:rFonts w:ascii="Times New Roman" w:eastAsia="Calibri" w:hAnsi="Times New Roman" w:cs="Times New Roman"/>
          <w:sz w:val="24"/>
          <w:szCs w:val="24"/>
          <w:vertAlign w:val="superscript"/>
        </w:rPr>
        <w:footnoteReference w:id="370"/>
      </w:r>
      <w:r w:rsidRPr="00E97E0B">
        <w:rPr>
          <w:rFonts w:ascii="Times New Roman" w:eastAsia="Calibri" w:hAnsi="Times New Roman" w:cs="Times New Roman"/>
          <w:i/>
          <w:iCs/>
          <w:sz w:val="24"/>
          <w:szCs w:val="24"/>
        </w:rPr>
        <w:t xml:space="preserve"> </w:t>
      </w:r>
      <w:r w:rsidRPr="00E97E0B">
        <w:rPr>
          <w:rFonts w:ascii="Times New Roman" w:eastAsia="Calibri" w:hAnsi="Times New Roman" w:cs="Times New Roman"/>
          <w:sz w:val="24"/>
          <w:szCs w:val="24"/>
        </w:rPr>
        <w:t xml:space="preserve">  </w:t>
      </w:r>
    </w:p>
    <w:p w14:paraId="0AEC4527"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Erdoğan’ın bu sözleri, Kürt kimliğini tanıma ve çatışma ortamının sona ermesine yönelik önemli bir söylemdir. Aynı zamanda, akan kanın kardeş kanı olduğunu söyleyerek, zımnî en dış grupta olan gruba bir adım atma dili kullanmıştır. Bu söylem, milliyetçi söylemle örtüşme noktasında da sorun yaratmamaktadır, çünkü ana akım milliyetçiler dahi terörün kardeş kanının akmasına neden olduğunu kabul etmekte zorlanmayacaktır. Bu söylemin farkı ve katkısı ise terör örgütlerinin gençleri kandırdığı söylemidir. Bu kandırılma, aynı zamanda onları affetmenin ve bir şans vermek için kullanılan bir söylemsel stratejidir.</w:t>
      </w:r>
    </w:p>
    <w:p w14:paraId="2525A915" w14:textId="3325DB9E"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w:eastAsia="Calibri" w:hAnsi="Times" w:cs="Times New Roman"/>
          <w:sz w:val="24"/>
          <w:szCs w:val="24"/>
        </w:rPr>
        <w:t>“…</w:t>
      </w:r>
      <w:r w:rsidRPr="00E97E0B">
        <w:rPr>
          <w:rFonts w:ascii="Times New Roman" w:eastAsia="Calibri" w:hAnsi="Times New Roman" w:cs="Times New Roman"/>
          <w:sz w:val="24"/>
          <w:szCs w:val="24"/>
        </w:rPr>
        <w:t xml:space="preserve">Bakınız, yaklaşık 30 yıldır sıcak olarak yaşadığımız, aslında kökü çok daha eskilere dayanan bir meselemiz var. Kürt Sorunu diyebilirsiniz, Doğu-Güneydoğu Sorunu diyebilirsiniz, Kürt açılımı diyebilirsiniz, başka isimlerle isimlendirebilirsiniz… Ama gerçek olan şudur ki, bu mesele bir Türkiye meselesi </w:t>
      </w:r>
      <w:r w:rsidRPr="00E97E0B">
        <w:rPr>
          <w:rFonts w:ascii="Times New Roman" w:eastAsia="Calibri" w:hAnsi="Times New Roman" w:cs="Times New Roman"/>
          <w:sz w:val="24"/>
          <w:szCs w:val="24"/>
        </w:rPr>
        <w:lastRenderedPageBreak/>
        <w:t>olarak, ülkemizi ve milletimizi meşgul eden, ülkemizin imkanlarını heba eden, toplumsal barışı tehdit eden bir sorun olarak bugünlere gelmiştir. Bu mesele sadece Doğu’da, Güneydoğu’daki vatandaşlarımızın değil, batıdaki, kuzeydeki, güneydeki vatandaşlarımızın da bir meselesidir. Zira bu mesele, on yıllar boyunca bir iç mesele olarak, Türkiye’nin gündeminden hiç düşmedi, ülkemizin enerjisini, kaynaklarını tüketti, insanımızın yüreklerini dağladı.</w:t>
      </w:r>
      <w:r w:rsidR="007B451D"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(Durum Kavramsallaştırma) Öncelikle şunu büyük bir memnuniyetle ifade etmeliyim: AK Parti ve AK Parti’yi var eden temel dünya görüşü, bu meseleye her zaman son derece sağlıklı bir şekilde bakmış, çözüm önerilerini de yine son derece sağlıklı bir şekilde ifade etmiştir. Biz, bütün siyasi yolculuğumuz boyunca, bu meseleyi kardeşlik hukuku içinde, vatandaşlık hukuku içinde, insanlık vicdanına uygun bir şekilde değerlendirmenin gayreti içinde olduk. Tarih boyunca iç içe yaşamış, birbirine dost, akraba, hatta kardeş olmuş etnik grupları birbirine düşürmeye çalışanlara karşı hep uyanık olduk. Aramıza nifak sokmaya çalışanlara karşı her zaman teyakkuzda olduk. Bölücülüğe, bölücü fikirlere asla ve asla prim vermediğimiz gibi, şiddetin ve terörün de bir çözüm yöntemi olmadığını her fırsatta vurguladık. Bu noktada AK Parti, diğerlerinin tersine son derece temiz bir sicile sahiptir, son derece berrak bir bakış açısına sahiptir. (Mesafe Koyma, Ötekini Kötü Gösterme, Övünç) Biz ne muhalefetin dediği gibi terörle mücadelede bir zafiyet gösterdik, ne de sorunun çözümü konusunda bir gevşeklik gösterdik. (Karşı Gerçeklik) Terörle mücadelede ne kadar kararlılık gösterdiysek, demokratikleşme konusunda da kararlı bir irade ortaya koyduk. Meselenin tüm boyutlarını nazara alan, her alanda aktif olan bir politika uyguladık. Biz her zaman yangını söndürmenin gayreti içinde olduk, hiçbir zaman yangına körükle gidenlerin yanında yer almadık (Durum Kavramsallaştırması) …”</w:t>
      </w:r>
      <w:r w:rsidRPr="00E97E0B">
        <w:rPr>
          <w:rFonts w:ascii="Times New Roman" w:eastAsia="Calibri" w:hAnsi="Times New Roman" w:cs="Times New Roman"/>
          <w:sz w:val="24"/>
          <w:szCs w:val="24"/>
          <w:vertAlign w:val="superscript"/>
        </w:rPr>
        <w:footnoteReference w:id="371"/>
      </w:r>
    </w:p>
    <w:p w14:paraId="30D46225"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Erdoğan burada durum tanımı ve kavramsallaştırması yaparak Kürt Sorunu’nun eskiye dayanan bir mesele olduğuna, ülke için ciddi hasarlara sebep olduğuna, ülke insanının hayatını doğrudan etkilediğine ve ülkedeki herkesin meselesi olduğuna değinmiştir. Burada Kürt kimliğinin öteki konumu, sorunun Kürt kimliğinin tanınmasıyla ilgili olmasındandır. Bununla birlikte, sorunun adı 2005’te gerçekleştirdiği ve Kürt Sorunu’nu ilk defa dile getirdiği konuşmasında kullandığı ifadeyle karşılaştırıldığında, sorun tanımını yaparken alternatif kavramsallaştırmalara yer vermiştir. Bu tür ifadeler, açılım öncesi kullanılmış olan alternatif isimleştirmelere kapı aralar niteliktedir. Sonrasında ise sorunun hasar boyutuna dair durum tanımlaması yapılmış vemeselenin yalnızca belirli bir kesimin meselesi olmadığı vurgulanmıştır. Bu cümle, Kürt vatandaşların, Türk vatandaşların iç grup üyesi olduğu anlamını içeren bir cümledir. Bu anlamda net bir öteki olduklarını söylemek pek mümkün değildir. Siyasi bütünlük karşıtı düşünceler ve şiddetin dışlandığı vurgusu ise örtülü de olsa buna tevessül edenlerin öteki konumuna yerleştirildiğinin sinyalidir. Bu aynı zamanda </w:t>
      </w:r>
      <w:r w:rsidRPr="00E97E0B">
        <w:rPr>
          <w:rFonts w:ascii="Times New Roman" w:eastAsia="Calibri" w:hAnsi="Times New Roman" w:cs="Times New Roman"/>
          <w:iCs/>
          <w:sz w:val="24"/>
          <w:szCs w:val="24"/>
        </w:rPr>
        <w:lastRenderedPageBreak/>
        <w:t xml:space="preserve">PKK’nın bu her iki unsuru da barındırması olarak değil; bu ikisinin ayrılmaz bir bütün olarak görüldüğü anlamını da taşımaktadır. </w:t>
      </w:r>
    </w:p>
    <w:p w14:paraId="5EC60546"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Sorunun büyüklüğünü belirtmek için onu bir yangına benzeten Erdoğan, sorunu terör ve alternatifi olan demokratikleşme ile tanımlamış, bunun için de aktif bir şekilde irade koyulması gerektiğini ve kendisi ve partisinin bunu yaptığını söyleyerek övünmüştür. Bu söylem çerçevesinde, övünme bir ötekileştirme teması olarak diğer partilerden farkını göstermek bakımından anlamlıdır.</w:t>
      </w:r>
    </w:p>
    <w:p w14:paraId="6DC5347B"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Konuşmada, muhalefetin ve özellikle milliyetçilerin Ak Parti’nin Kürt politikası konusundaki karşı çıkışlarına yalanlayıcı bir yanıt verildiği görülmektedir. Bu yanıt ile Ak Parti’nin muhalefet karşısında Kürt Sorunu’na yaklaşımı bağlamında kendisini savunmacı bir pozisyonda gördüğü anlaşılmaktadır. Konuşmacı bunu bir karşı gerçeklik sunarak ve kendi partisini ve yaklaşımını överek telafi etmeyi amaçlamış gibi görünmektedir. Sicil ifadesi ile, Cumhuriyet’in kurucu partisi olan CHP; sağlıklı bakış ile Türk milliyetçiliğini merkeze alan MHP (Milliyetçi Hareket Partisi) kastedilmektedir. Bu iki partinin yaklaşımlarına mukabil, Ak Parti’nin en doğru anlayışa sahip olduğu savunusu öne sürülmektedir. Konuşmadan anlaşıldığı üzere, öteki olan Kürt kimliği doğrudan öteki konumuna neredeyse hiç yerleştirilmemiş olmakla birlikte onunla ilgili politikalar üzerinden farklı parti ve örgütlerin konuya yaklaşımları veya yöntemleri nedeniyle öteki olmuştur.</w:t>
      </w:r>
    </w:p>
    <w:p w14:paraId="417B3BA9" w14:textId="645F5545" w:rsidR="002858AE" w:rsidRPr="00E97E0B" w:rsidRDefault="002858AE" w:rsidP="002B7FA9">
      <w:pPr>
        <w:pStyle w:val="Heading3"/>
      </w:pPr>
      <w:bookmarkStart w:id="209" w:name="_Toc141133116"/>
      <w:r w:rsidRPr="00E97E0B">
        <w:t>5.</w:t>
      </w:r>
      <w:r w:rsidR="00E97E26" w:rsidRPr="00E97E0B">
        <w:t>2</w:t>
      </w:r>
      <w:r w:rsidRPr="00E97E0B">
        <w:t>.2. Aleviler</w:t>
      </w:r>
      <w:bookmarkEnd w:id="209"/>
      <w:r w:rsidRPr="00E97E0B">
        <w:t xml:space="preserve"> </w:t>
      </w:r>
    </w:p>
    <w:p w14:paraId="2FAC884E"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Alevilik, pek çok farklı yaklaşımın olduğu bir kimliği barındırmaktadır. Aleviliğin tanım çeşitliliği ve bu konudaki uzlaşamama sorunu yalnızca Aleviliğe dahil olan kesimler arasındaki farklardan değil, aynı zamanda Alevilerle etkileşim halinde olan Alevi olmayan unsurların da tanımlama çabalarından kaynaklanmaktadır. Aleviler, içinde yaşadıkları coğrafyada nüfusun tamamını oluşturmadıkları gibi çoğu yerde azınlık nüfusu oluşturmaktadır. Ayrıca, Alevilik, Türkler, Kürtler ve hatta Araplar gibi farklı etnik kimliklerden unsurları bünyesinde bulundurduğundan, bir kimlik olarak kesişen bir konumdadır. </w:t>
      </w:r>
    </w:p>
    <w:p w14:paraId="08F5DDE0" w14:textId="1B261C1F"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Esasen Türkiye’de Alevilik hakkında temel iki yaklaşım inanç bakımından konuyu ele almaktadır. Bu yaklaşımlar, Aleviliğin İslam dininin bir kolu olup olmadığı </w:t>
      </w:r>
      <w:r w:rsidRPr="00E97E0B">
        <w:rPr>
          <w:rFonts w:ascii="Times New Roman" w:eastAsia="Calibri" w:hAnsi="Times New Roman" w:cs="Times New Roman"/>
          <w:iCs/>
          <w:sz w:val="24"/>
          <w:szCs w:val="24"/>
        </w:rPr>
        <w:lastRenderedPageBreak/>
        <w:t>ekseninde ele almaktadır.</w:t>
      </w:r>
      <w:r w:rsidRPr="00E97E0B">
        <w:rPr>
          <w:rFonts w:ascii="Times New Roman" w:eastAsia="Calibri" w:hAnsi="Times New Roman" w:cs="Times New Roman"/>
          <w:iCs/>
          <w:sz w:val="24"/>
          <w:szCs w:val="24"/>
          <w:vertAlign w:val="superscript"/>
        </w:rPr>
        <w:footnoteReference w:id="372"/>
      </w:r>
      <w:r w:rsidRPr="00E97E0B">
        <w:rPr>
          <w:rFonts w:ascii="Times New Roman" w:eastAsia="Calibri" w:hAnsi="Times New Roman" w:cs="Times New Roman"/>
          <w:iCs/>
          <w:sz w:val="24"/>
          <w:szCs w:val="24"/>
        </w:rPr>
        <w:t xml:space="preserve"> İlk olarak, Aleviliğin Osmanlı coğrafyasındaki “öteki” konumu, özellikle Safevileri destekleyen Anadolu Türkmenlerinin, Osmanlı Devleti tarafından 16. yüzyılda bastırılması sonucunda, halihazırda var olan dinsel farklılıkların vurgusunun artmasıyla ve buna karşılık sapkın olan öteki olarak tanımlanması şeklinde başlamıştır. Bu durum, hem politik hem ekonomik hem de sosyal farklılıkların pekişmesiyle günümüze kadar gelen bir Sünni-Alevi dikotomisi olarak siyasi ve dinsel alana yansımıştır. Sünni İslam anlayışı, Alevi din anlayışına karşı, mevcut gayri Müslim azınlıklarına karşı takındığından farklı bir tavır takınarak onları sapkın veya heterodoks olarak tanımlaşmıştır.</w:t>
      </w:r>
      <w:r w:rsidRPr="00E97E0B">
        <w:rPr>
          <w:rFonts w:ascii="Times New Roman" w:eastAsia="Calibri" w:hAnsi="Times New Roman" w:cs="Times New Roman"/>
          <w:iCs/>
          <w:sz w:val="24"/>
          <w:szCs w:val="24"/>
          <w:vertAlign w:val="superscript"/>
        </w:rPr>
        <w:footnoteReference w:id="373"/>
      </w:r>
      <w:r w:rsidRPr="00E97E0B">
        <w:rPr>
          <w:rFonts w:ascii="Times New Roman" w:eastAsia="Calibri" w:hAnsi="Times New Roman" w:cs="Times New Roman"/>
          <w:iCs/>
          <w:sz w:val="24"/>
          <w:szCs w:val="24"/>
        </w:rPr>
        <w:t xml:space="preserve"> İkinci olarak, heretik/sapkın olduğuna dair Sünni söyleminin yanı sıra daha sık dile getirilen bir karşıt Sünni söylem ise kucaklayıcı ve kendi vechesinden olumlu bir bakışı içeren ve Aleviliği İslam dini kapsamına alan söylemdir. Oysaki Alevilik senkretik yapıya sahip bir inanç sistemidir.</w:t>
      </w:r>
      <w:r w:rsidRPr="00E97E0B">
        <w:rPr>
          <w:rFonts w:ascii="Times New Roman" w:eastAsia="Calibri" w:hAnsi="Times New Roman" w:cs="Times New Roman"/>
          <w:iCs/>
          <w:sz w:val="24"/>
          <w:szCs w:val="24"/>
          <w:vertAlign w:val="superscript"/>
        </w:rPr>
        <w:footnoteReference w:id="374"/>
      </w:r>
      <w:r w:rsidRPr="00E97E0B">
        <w:rPr>
          <w:rFonts w:ascii="Times New Roman" w:eastAsia="Calibri" w:hAnsi="Times New Roman" w:cs="Times New Roman"/>
          <w:iCs/>
          <w:sz w:val="24"/>
          <w:szCs w:val="24"/>
        </w:rPr>
        <w:t xml:space="preserve"> Bu aynı zamanda ulus-devlet inşa süreciyle birlikte tercih edilen yaygın söylemdir, ancak bu söylem, Aleviliği İslam dairesine dahil etmekte ve Alevi kimliğini ve taleplerini görmezden gelmenin veya karşılamamayı meşrulaştırmanın bir aracı haline getirmektedir. Bu talepler, Alevilerin eşit yurttaş olarak tanınması, Alevilerin ibadethane olarak tanımladıkları cemevlerinin ibadethane statüsü kazanması, zorunlu din derslerinin kaldırılması veya içeriğinin diğer dinleri de kapsayacak şekilde genişletilmesi ve Diyanet İşleri Başkanlığı’nın kaldırılması şeklindedir.</w:t>
      </w:r>
      <w:r w:rsidRPr="00E97E0B">
        <w:rPr>
          <w:rFonts w:ascii="Times New Roman" w:eastAsia="Calibri" w:hAnsi="Times New Roman" w:cs="Times New Roman"/>
          <w:iCs/>
          <w:sz w:val="24"/>
          <w:szCs w:val="24"/>
          <w:vertAlign w:val="superscript"/>
        </w:rPr>
        <w:footnoteReference w:id="375"/>
      </w:r>
      <w:r w:rsidRPr="00E97E0B">
        <w:rPr>
          <w:rFonts w:ascii="Times New Roman" w:eastAsia="Calibri" w:hAnsi="Times New Roman" w:cs="Times New Roman"/>
          <w:iCs/>
          <w:sz w:val="24"/>
          <w:szCs w:val="24"/>
        </w:rPr>
        <w:t xml:space="preserve"> </w:t>
      </w:r>
    </w:p>
    <w:p w14:paraId="5B4D7D11"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Osmanlı Devleti’nin Sünni İslam merkezli anlayışı, Cumhuriyet’in laiklik ilkesi ve laik kurumlarıyla ve dini yaşamı kamusal alandan bireysel alana odaklamasıyla birlikte Aleviler üzerindeki baskısını hafifletse de, merkezileşme ve modern devletin insan hayatını büyük ölçüde kaplaması nedeniyle Aleviliğin kendi kurumsal varlığı ve iç işleyişi aşınmaya uğramıştır.</w:t>
      </w:r>
      <w:r w:rsidRPr="00E97E0B">
        <w:rPr>
          <w:rFonts w:ascii="Times New Roman" w:eastAsia="Calibri" w:hAnsi="Times New Roman" w:cs="Times New Roman"/>
          <w:iCs/>
          <w:sz w:val="24"/>
          <w:szCs w:val="24"/>
          <w:vertAlign w:val="superscript"/>
        </w:rPr>
        <w:footnoteReference w:id="376"/>
      </w:r>
      <w:r w:rsidRPr="00E97E0B">
        <w:rPr>
          <w:rFonts w:ascii="Times New Roman" w:eastAsia="Calibri" w:hAnsi="Times New Roman" w:cs="Times New Roman"/>
          <w:iCs/>
          <w:sz w:val="24"/>
          <w:szCs w:val="24"/>
        </w:rPr>
        <w:t xml:space="preserve"> Alevi kimliği, Cumhuriyet’in kuruluşundan sonra devlet imgeleminde çağdaşlık gibi anlamları temsil etmekteydi ve </w:t>
      </w:r>
      <w:r w:rsidRPr="00E97E0B">
        <w:rPr>
          <w:rFonts w:ascii="Times New Roman" w:eastAsia="Calibri" w:hAnsi="Times New Roman" w:cs="Times New Roman"/>
          <w:iCs/>
          <w:sz w:val="24"/>
          <w:szCs w:val="24"/>
        </w:rPr>
        <w:lastRenderedPageBreak/>
        <w:t>Sünniliğe ve Kürt Milliyetçiliğine karşı seküler devlet yapısının doğal müttefiki olarak görülmekteydi.</w:t>
      </w:r>
      <w:r w:rsidRPr="00E97E0B">
        <w:rPr>
          <w:rFonts w:ascii="Times New Roman" w:eastAsia="Calibri" w:hAnsi="Times New Roman" w:cs="Times New Roman"/>
          <w:iCs/>
          <w:sz w:val="24"/>
          <w:szCs w:val="24"/>
          <w:vertAlign w:val="superscript"/>
        </w:rPr>
        <w:footnoteReference w:id="377"/>
      </w:r>
    </w:p>
    <w:p w14:paraId="46C3D2D6"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  Bununla birlikte, Alevi inancına mensup kişilerin Osmanlı Devleti’nden bu yana uğradığı baskılar, Cumhuriyet Dönemi’nde de devam etmiştir. Öte yandan, devletin Diyanet İşleri Başkanlığı’nın Sünni İslam anlayışı ve bu doğrultuda Aleviliği ayrı bir inanç olarak kabul etmeme ve farklarını belirsiz bir şekilde bırakma stratejisi, farklılığı tescillenmemiş bir anlayışı örtülü olarak yazılı din anlayışından bir “sapma” olarak görmesiyle ve bu “sapmayı” “doğru Aleviliği tanımlama” ile ikame etme fikriyle ilişkili olmuştur.</w:t>
      </w:r>
      <w:r w:rsidRPr="00E97E0B">
        <w:rPr>
          <w:rFonts w:ascii="Times New Roman" w:eastAsia="Calibri" w:hAnsi="Times New Roman" w:cs="Times New Roman"/>
          <w:iCs/>
          <w:sz w:val="24"/>
          <w:szCs w:val="24"/>
          <w:vertAlign w:val="superscript"/>
        </w:rPr>
        <w:footnoteReference w:id="378"/>
      </w:r>
      <w:r w:rsidRPr="00E97E0B">
        <w:rPr>
          <w:rFonts w:ascii="Times New Roman" w:eastAsia="Calibri" w:hAnsi="Times New Roman" w:cs="Times New Roman"/>
          <w:iCs/>
          <w:sz w:val="24"/>
          <w:szCs w:val="24"/>
        </w:rPr>
        <w:t xml:space="preserve"> Demokratik Açılım kapsamında 2010 yılında oluşturulan Alevi Çalıştay Nihai Raporu’nda, son dönemdeki Aleviliğe yönelik merkeziyetçi ve aşkın kutsalcı dil kendini göstermektedir. Toplum kendi varlığına bir anlam verme zorunluluğu hisseder, bu anlam pozitivist ya da uhrevi temelli olsun bireyin kendisinden öte bir varlığa dayanmaktadır. Burada aşkın kutsalcı ile kastedilen, devletin yasalarının ya da uygulamalarının kaynağının, insan ve toplum değil, bütün bundan bağımsız bir şekilde, dışsal ve evrensel bir başka kutsal tarafından belirlendiği anlayışına dayanan bir dil kullanılmasıdır.</w:t>
      </w:r>
      <w:r w:rsidRPr="00E97E0B">
        <w:rPr>
          <w:rFonts w:ascii="Times New Roman" w:eastAsia="Calibri" w:hAnsi="Times New Roman" w:cs="Times New Roman"/>
          <w:iCs/>
          <w:sz w:val="24"/>
          <w:szCs w:val="24"/>
          <w:vertAlign w:val="superscript"/>
        </w:rPr>
        <w:footnoteReference w:id="379"/>
      </w:r>
      <w:r w:rsidRPr="00E97E0B">
        <w:rPr>
          <w:rFonts w:ascii="Times New Roman" w:eastAsia="Calibri" w:hAnsi="Times New Roman" w:cs="Times New Roman"/>
          <w:iCs/>
          <w:sz w:val="24"/>
          <w:szCs w:val="24"/>
        </w:rPr>
        <w:t>. Alevi Sorunu’na yaklaşımın, devletin ve hâkim dinin kurumsallaşmış iktidar olmaları bakımından aşkın kutsallık diliyle ifade bulması heterodoksiyle uzlaşmaya elverişli olamayacağını göstermektedir.</w:t>
      </w:r>
      <w:r w:rsidRPr="00E97E0B">
        <w:rPr>
          <w:rFonts w:ascii="Times New Roman" w:eastAsia="Calibri" w:hAnsi="Times New Roman" w:cs="Times New Roman"/>
          <w:iCs/>
          <w:sz w:val="24"/>
          <w:szCs w:val="24"/>
          <w:vertAlign w:val="superscript"/>
        </w:rPr>
        <w:footnoteReference w:id="380"/>
      </w:r>
      <w:r w:rsidRPr="00E97E0B">
        <w:rPr>
          <w:rFonts w:ascii="Times New Roman" w:eastAsia="Calibri" w:hAnsi="Times New Roman" w:cs="Times New Roman"/>
          <w:iCs/>
          <w:sz w:val="24"/>
          <w:szCs w:val="24"/>
        </w:rPr>
        <w:t xml:space="preserve"> </w:t>
      </w:r>
    </w:p>
    <w:p w14:paraId="617C3787"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Türkiye’nin ulus devlet süreci boyunca İmparatorluk geçmişinden miras aldığı aşkıncı kutsallık anlayışı ve yukarıdan aşağıya doğru giden bir düzenleme anlayışı güçlü olsa da, Türkiye toplumunun bir devlet-ulus olduğu yönündeki düşünceleri abartılı bulunmaktadır.</w:t>
      </w:r>
      <w:r w:rsidRPr="00E97E0B">
        <w:rPr>
          <w:rFonts w:ascii="Times New Roman" w:eastAsia="Calibri" w:hAnsi="Times New Roman" w:cs="Times New Roman"/>
          <w:iCs/>
          <w:sz w:val="24"/>
          <w:szCs w:val="24"/>
          <w:vertAlign w:val="superscript"/>
        </w:rPr>
        <w:footnoteReference w:id="381"/>
      </w:r>
      <w:r w:rsidRPr="00E97E0B">
        <w:rPr>
          <w:rFonts w:ascii="Times New Roman" w:eastAsia="Calibri" w:hAnsi="Times New Roman" w:cs="Times New Roman"/>
          <w:iCs/>
          <w:sz w:val="24"/>
          <w:szCs w:val="24"/>
        </w:rPr>
        <w:t xml:space="preserve"> Devlet, Türkiye’de merkezileştirici ve düzenleyici rolü açısından baskın olmakla birlikte, devletin ulus tarafından inşa edildiği açıktır, bu nedenle de devlet ulus kategorisinden çok ulus devlet kategorisine uygundur.</w:t>
      </w:r>
      <w:r w:rsidRPr="00E97E0B">
        <w:rPr>
          <w:rFonts w:ascii="Times New Roman" w:eastAsia="Calibri" w:hAnsi="Times New Roman" w:cs="Times New Roman"/>
          <w:iCs/>
          <w:sz w:val="24"/>
          <w:szCs w:val="24"/>
          <w:vertAlign w:val="superscript"/>
        </w:rPr>
        <w:footnoteReference w:id="382"/>
      </w:r>
      <w:r w:rsidRPr="00E97E0B">
        <w:rPr>
          <w:rFonts w:ascii="Times New Roman" w:eastAsia="Calibri" w:hAnsi="Times New Roman" w:cs="Times New Roman"/>
          <w:iCs/>
          <w:sz w:val="24"/>
          <w:szCs w:val="24"/>
        </w:rPr>
        <w:t xml:space="preserve"> Devlet-ulus tanımı, ulus-devletleşme sürecinin baskın bir tek ulustan kaynaklanarak </w:t>
      </w:r>
      <w:r w:rsidRPr="00E97E0B">
        <w:rPr>
          <w:rFonts w:ascii="Times New Roman" w:eastAsia="Calibri" w:hAnsi="Times New Roman" w:cs="Times New Roman"/>
          <w:iCs/>
          <w:sz w:val="24"/>
          <w:szCs w:val="24"/>
        </w:rPr>
        <w:lastRenderedPageBreak/>
        <w:t>mı ortaya çıktığı; yoksa birden çok ulusun bir çatı altında devlet gücüyle mi birleştirildiği sorusu ile devlet içindeki idarî mekanizmaların işlerliğinin zayıf olup olmadığı ile ilgili bir kavramdır. Devlet-ulus kavramı içerisindeki bu mekanizma zayıf ve etkisizdir ve bu kavram çoğu durumda sömürgeleşme sonrası ülkeleri kapsamaktadır.</w:t>
      </w:r>
      <w:r w:rsidRPr="00E97E0B">
        <w:rPr>
          <w:rFonts w:ascii="Times New Roman" w:eastAsia="Calibri" w:hAnsi="Times New Roman" w:cs="Times New Roman"/>
          <w:iCs/>
          <w:sz w:val="24"/>
          <w:szCs w:val="24"/>
          <w:vertAlign w:val="superscript"/>
        </w:rPr>
        <w:footnoteReference w:id="383"/>
      </w:r>
    </w:p>
    <w:p w14:paraId="756B236F"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Ak Parti’nin Alevi sorununa yaklaşımının ise Aleviliğin farklılıklarını görmezden gelme ve Sünni Alevi ortak özelliklerinden yola çıkarak aynı çatı altında tanımlama şeklindedir. Bunu uygulamadaki farklılıklar takip ettiğinden, söylem-eylem birliğinin en fazla bozulduğu politikanın, öteki konumlandırması bağlamında Alevi Sorunu’nda görüldüğünü söyleyebiliriz. Bunun pek çok yapısal sebebinin olduğunu söylenebilir; Yapısal sebepler arasında, Osmanlı Devleti’nin iç ve dış baskılar sonucu dağılma tecrübesi ve Türkiye Cumhuriyeti boyunca süren dağılma ve parçalanma korkusuna ulus-devlet kurma ve devamlılığını sağlama endişesi, Sünni egemen bir devletin topraklarında kurucu bir unsur olan Alevileri kimlik olarak tanıma ve buna bağlı olarak Alevilerin çeşitli hak taleplerinin yanıtsız bırakılmasından kaynaklanan çıkar çatışmaları gösterilebilir. Ayrıca, bu mesele, AB üyelik başvurularında demokratik ilerlemeyle ilgili başlıklar açısından Türkiye için bir dış baskı unsuru olduğundan ve kamuoyunda böyle bir beklentinin oluşmasından kaynaklı baskı olmasından ötürü, çözümle ilgili bazı inisiyatiflerin alınmasına yol açmıştır. Buna mukabil, taleplerin karşılanmasındaki isteksizlik ve bu taleplerin karşılanmasına karar verilmesi durumunda nasıl karşılanacağı yönündeki belirsizlikten kaynaklı olarak, talepleri gerçekleştirme konusunda direnç gösterilmiş gibi görünmektedir. Örneğin, cemevlerinin ibadethane statüsüne kavuşturulması durumunda, Diyanet İşleri Başkanlığı’yla olan ilişkisinin nasıl düzenleneceği sorusu yalnızca hükümetin değil; Alevilerin de kafasını karıştırabilecek bir konudur, çünkü cemevleri ve yetkililerinin merkezi otorite tarafından daha fazla müdahaleye uğrayacağı düşünüldüğünde, böyle bir kararın ne gibi sorunları beraberinde getireceği de tartışmaya açıktır.  Bu kurumsal ve yapısal endişe ve refleksleri miras almış olan Ak Parti hükümeti, kendi Sünni İslamcı bakış açısının da denkleme eklenmesiyle, Kürt Sorunu’na yaklaşımından farklı </w:t>
      </w:r>
      <w:r w:rsidRPr="00E97E0B">
        <w:rPr>
          <w:rFonts w:ascii="Times New Roman" w:eastAsia="Calibri" w:hAnsi="Times New Roman" w:cs="Times New Roman"/>
          <w:iCs/>
          <w:sz w:val="24"/>
          <w:szCs w:val="24"/>
        </w:rPr>
        <w:lastRenderedPageBreak/>
        <w:t>olarak, Alevi Sorunu’yla ilgili olarak toplumsal tabandan gelen çözüm talepleri konusunda daha isteksiz görünmektedir. Aynı zamanda, hükümetin bu perspektifiyle paralellik arz eden Neo-Osmanlıcı yönü, azınlıklara karşı “hoşgörü” gösterme anlayışını da bünyesinde barındırmaktadır.</w:t>
      </w:r>
      <w:r w:rsidRPr="00E97E0B">
        <w:rPr>
          <w:rFonts w:ascii="Times New Roman" w:eastAsia="Calibri" w:hAnsi="Times New Roman" w:cs="Times New Roman"/>
          <w:iCs/>
          <w:sz w:val="24"/>
          <w:szCs w:val="24"/>
          <w:vertAlign w:val="superscript"/>
        </w:rPr>
        <w:footnoteReference w:id="384"/>
      </w:r>
      <w:r w:rsidRPr="00E97E0B">
        <w:rPr>
          <w:rFonts w:ascii="Times New Roman" w:eastAsia="Calibri" w:hAnsi="Times New Roman" w:cs="Times New Roman"/>
          <w:iCs/>
          <w:sz w:val="24"/>
          <w:szCs w:val="24"/>
        </w:rPr>
        <w:t xml:space="preserve"> Hoşgörü, imparatorluk dönemindeki Sünni ve Türk olan unsurların egemen olduğu düzene itiraz gelmemesine bağlı olan bir varlık alanı tanımadan ibarettir. Osmanlı Devleti’ndeki </w:t>
      </w:r>
      <w:r w:rsidRPr="00E97E0B">
        <w:rPr>
          <w:rFonts w:ascii="Times New Roman" w:eastAsia="Calibri" w:hAnsi="Times New Roman" w:cs="Times New Roman"/>
          <w:i/>
          <w:sz w:val="24"/>
          <w:szCs w:val="24"/>
        </w:rPr>
        <w:t xml:space="preserve">millet </w:t>
      </w:r>
      <w:r w:rsidRPr="00E97E0B">
        <w:rPr>
          <w:rFonts w:ascii="Times New Roman" w:eastAsia="Calibri" w:hAnsi="Times New Roman" w:cs="Times New Roman"/>
          <w:iCs/>
          <w:sz w:val="24"/>
          <w:szCs w:val="24"/>
        </w:rPr>
        <w:t>sistemi dini cemaatler üzerinden bir kategori oluşturduğundan, seküler Türkiye Cumhuriyeti de paradoksal bir şekilde millî devlet anlayışını, elde kalan Anadolu’daki Müslüman tüm unsurları tek millet olarak saymak suretiyle kurmuştur.</w:t>
      </w:r>
      <w:r w:rsidRPr="00E97E0B">
        <w:rPr>
          <w:rFonts w:ascii="Times New Roman" w:eastAsia="Calibri" w:hAnsi="Times New Roman" w:cs="Times New Roman"/>
          <w:iCs/>
          <w:sz w:val="24"/>
          <w:szCs w:val="24"/>
          <w:vertAlign w:val="superscript"/>
        </w:rPr>
        <w:t xml:space="preserve"> </w:t>
      </w:r>
      <w:r w:rsidRPr="00E97E0B">
        <w:rPr>
          <w:rFonts w:ascii="Times New Roman" w:eastAsia="Calibri" w:hAnsi="Times New Roman" w:cs="Times New Roman"/>
          <w:iCs/>
          <w:sz w:val="24"/>
          <w:szCs w:val="24"/>
          <w:vertAlign w:val="superscript"/>
        </w:rPr>
        <w:footnoteReference w:id="385"/>
      </w:r>
      <w:r w:rsidRPr="00E97E0B">
        <w:rPr>
          <w:rFonts w:ascii="Times New Roman" w:eastAsia="Calibri" w:hAnsi="Times New Roman" w:cs="Times New Roman"/>
          <w:iCs/>
          <w:sz w:val="24"/>
          <w:szCs w:val="24"/>
        </w:rPr>
        <w:t xml:space="preserve"> Bununla birlikte, Alevilerin Aleviliği tanımlamada ve ortak hareket etme konusunda önlerindeki fikir ayrılıkları ve farklılıklar da tek millet anlayışına engel teşkil etmiştir. Aleviliğin 1960’lı yıllardan sonra şehirleşmesinin getirdiği değişimler, Alevilerin sorunlarını da tanımlama konusundaki fikir ortaklığını zedelemiştir.</w:t>
      </w:r>
      <w:r w:rsidRPr="00E97E0B">
        <w:rPr>
          <w:rFonts w:ascii="Times New Roman" w:eastAsia="Calibri" w:hAnsi="Times New Roman" w:cs="Times New Roman"/>
          <w:iCs/>
          <w:sz w:val="24"/>
          <w:szCs w:val="24"/>
          <w:vertAlign w:val="superscript"/>
        </w:rPr>
        <w:footnoteReference w:id="386"/>
      </w:r>
      <w:r w:rsidRPr="00E97E0B">
        <w:rPr>
          <w:rFonts w:ascii="Times New Roman" w:eastAsia="Calibri" w:hAnsi="Times New Roman" w:cs="Times New Roman"/>
          <w:iCs/>
          <w:sz w:val="24"/>
          <w:szCs w:val="24"/>
        </w:rPr>
        <w:t xml:space="preserve"> Aleviliğin, Sünni-Türk merkeziyetçiliğinin baskısı altında olmasının yanında, kendi iç kurumsal çıkmazları da bu baskılar altında hak taleplerini daha güçlü bir şekilde dile getirmelerine engel olmuş, söz konusu homojenleştirici eğilimin elini güçlendirmiştir. </w:t>
      </w:r>
    </w:p>
    <w:p w14:paraId="2A3B6105"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Erdoğan, halka yaptığı konuşmalarında, 2007’ye kadar Alevi sorununu gündeme hiç getirmediği görülmektedir. Alevilere yönelik gündemin hareket kazanmaya başlaması 2007 Temmuzundan sonradır. Erdoğan’ın da başında olduğu bu dinamizm, sembolik ve Alevilere yönelik olumlu bir tutumu beraberinde getirmiş, ancak bir kısım Alevi bunu olumlu karşılarken, bir kısım Alevi de bu adımı şüpheyle karşılamıştır. Bu güvensizliğin kültürel nedenler ve tarihi tecrübeler ile bağlantılı olduğu göz önünde bulundurulmalıdır. Diğer taraftan, Alevilerin kendi içlerinde meselenin çözümüne dair önerilerde ayrışmaları, bu konudaki çözüm ihtimallerini kısmen zora sokmuştur. Bunlara ek olarak, cemevlerinin ibadethane olarak tanınması durumunda, Diyanet İşleri Başkanlığı ile nasıl bir kurumsal ilişki içinde olabileceği ve böyle bir durumun ortaya çıkması durumunda Diyanet İşleri Başkanlığı’nın kurumsal olarak zayıflaması veya etkisizleşmesinin sekter kutuplaşmayı artırması ve tarikatların </w:t>
      </w:r>
      <w:r w:rsidRPr="00E97E0B">
        <w:rPr>
          <w:rFonts w:ascii="Times New Roman" w:eastAsia="Calibri" w:hAnsi="Times New Roman" w:cs="Times New Roman"/>
          <w:iCs/>
          <w:sz w:val="24"/>
          <w:szCs w:val="24"/>
        </w:rPr>
        <w:lastRenderedPageBreak/>
        <w:t xml:space="preserve">güç kazanmasına neden olması riski de söz konusu olmuştur. </w:t>
      </w:r>
      <w:r w:rsidRPr="00E97E0B">
        <w:rPr>
          <w:rFonts w:ascii="Times New Roman" w:eastAsia="Calibri" w:hAnsi="Times New Roman" w:cs="Times New Roman"/>
          <w:iCs/>
          <w:sz w:val="24"/>
          <w:szCs w:val="24"/>
          <w:vertAlign w:val="superscript"/>
        </w:rPr>
        <w:footnoteReference w:id="387"/>
      </w:r>
      <w:r w:rsidRPr="00E97E0B">
        <w:rPr>
          <w:rFonts w:ascii="Times New Roman" w:eastAsia="Calibri" w:hAnsi="Times New Roman" w:cs="Times New Roman"/>
          <w:iCs/>
          <w:sz w:val="24"/>
          <w:szCs w:val="24"/>
        </w:rPr>
        <w:t xml:space="preserve"> Bütün bu faktörler, Erdoğan ve hükümetinin meseleye yaklaşımının bağlamını teşkil etmektedir. </w:t>
      </w:r>
    </w:p>
    <w:p w14:paraId="4305D4DB"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“…AK Parti, 81 vilayette, Türk’ün, Kürt’ün, Çerkez’in, Boşnak’ın, Laz’ın, Arap’ın, Gürcü’nün, Roman’ın, Sünni’nin, Alevi’nin, kısacası tüm etnik grupların, tüm inanç gruplarının, tüm renklerin partisidir.”</w:t>
      </w:r>
      <w:r w:rsidRPr="00E97E0B">
        <w:rPr>
          <w:rFonts w:ascii="Times New Roman" w:eastAsia="Calibri" w:hAnsi="Times New Roman" w:cs="Times New Roman"/>
          <w:sz w:val="24"/>
          <w:szCs w:val="24"/>
          <w:vertAlign w:val="superscript"/>
        </w:rPr>
        <w:footnoteReference w:id="388"/>
      </w:r>
    </w:p>
    <w:p w14:paraId="51C3BFCE"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i/>
          <w:iCs/>
          <w:sz w:val="24"/>
          <w:szCs w:val="24"/>
        </w:rPr>
        <w:t xml:space="preserve"> </w:t>
      </w:r>
      <w:r w:rsidRPr="00E97E0B">
        <w:rPr>
          <w:rFonts w:ascii="Times New Roman" w:eastAsia="Calibri" w:hAnsi="Times New Roman" w:cs="Times New Roman"/>
          <w:sz w:val="24"/>
          <w:szCs w:val="24"/>
        </w:rPr>
        <w:t xml:space="preserve">Erdoğan, partisinin etnik, mezhebi ya da inançsal yönden herhangi bir ayrım yapmayı reddettiğini beyan ettiği bu cümlesinde, Türkiye’de mevcut etnik ve inançsal grupların bir kısmına atıfta bulunmuştur. Türk siyasal hayatında sıklıkla görülen bu tür mesajlar, kucaklayıcı bir temayla toplumsal barış ve birliği sağlamaya yönelik olumlu konuşmalardandır. Erdoğan’ın topluma hitap ettiği açık her türlü konuşmasının içeriğinde bu türden cümlelere sıkça rastlamak mümkündür. Erdoğan, siyasete başladığı ilk günlerden bahsi geçen bu dönem de dahil olmak üzere, bu tür söylemleri sıklıkla kullanmıştır. Toplumun üçte birinden fazlasının oylarını alabilen bir partinin ve liderin aksi yönde bir konuşmayı yapması beklenen bir durum değildir, ancak bu türlü jenerik konuşmalar öteki konumunu çoğunlukla açık etmemektedir. Bununla birlikte, Erdoğan’ın bu tür konuşmalarından bazı ipuçlarını çıkarmak mümkündür. Burada pek çok etnik gruba değinildiği görülmektedir, ancak bunların iki tanesi Türk siyasal hayatında gündemi gerçek anlamda belirlemektedir. Söz konusu gruplar, Türk ve Kürt etnisiteleridir. Öte yandan, başlık bağlamında yalnızca iki dini/mezhepsel gruba atıf bulunmaktadır ve bunlar Sünniler ve Alevilerdir. Ayrıca, konuşmada görüldüğü üzere, başka dini gruplar da zikredilebilmekte ve onları da kucaklayan bir söylem, bu tür konuşma kalıplarıyla konuşmacı tarafından sıklıkla dile getirilmektedir. Üstelik burada da tüm inanç grupları ifadesiyle örtülü olarak onlara da değinilmektedir. Bir </w:t>
      </w:r>
      <w:r w:rsidRPr="00E97E0B">
        <w:rPr>
          <w:rFonts w:ascii="Times New Roman" w:eastAsia="Calibri" w:hAnsi="Times New Roman" w:cs="Times New Roman"/>
          <w:i/>
          <w:iCs/>
          <w:sz w:val="24"/>
          <w:szCs w:val="24"/>
        </w:rPr>
        <w:t>catch-all</w:t>
      </w:r>
      <w:r w:rsidRPr="00E97E0B">
        <w:rPr>
          <w:rFonts w:ascii="Times New Roman" w:eastAsia="Calibri" w:hAnsi="Times New Roman" w:cs="Times New Roman"/>
          <w:sz w:val="24"/>
          <w:szCs w:val="24"/>
        </w:rPr>
        <w:t xml:space="preserve"> partisi olarak değerlendirebileceğimiz Ak Parti, esasında tüm bu gruplardan seçmenler için bir cazibe merkezi olabilmiştir. Toplumun pek çok katmanına hitap edebilme özelliğinin bir gereği olarak, burada asıl toplumsal fay hatlarını oluşturan bahsi geçen dört kimlikle kendisini sınırlı tutmayıp, diğerlerini de sıklıkla dile getirmesi beklenen Erdoğan, cümlesinin sonunda belirttiği renk metaforuyla çeşitliliğe pozitif bir anlam yüklemektedir. Ancak bu yaklaşım, yer yer bu </w:t>
      </w:r>
      <w:r w:rsidRPr="00E97E0B">
        <w:rPr>
          <w:rFonts w:ascii="Times New Roman" w:eastAsia="Calibri" w:hAnsi="Times New Roman" w:cs="Times New Roman"/>
          <w:sz w:val="24"/>
          <w:szCs w:val="24"/>
        </w:rPr>
        <w:lastRenderedPageBreak/>
        <w:t xml:space="preserve">toplumsal gruplarla hükümetin karşı karşıya kaldığı anlaşmazlık durumlarında bir renk olarak değil bir bölücülük veya toplumsal ayrışma anlamı kazanacak esnekliktedir. </w:t>
      </w:r>
    </w:p>
    <w:p w14:paraId="5DA23167"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“…Alevilerin sorunlarını bu ülkede kim gündeme taşıdı? Azınlıkların meseleleriyle kim ilgilendi? Demokratik Açılımı, Milli Birlik ve Kardeşlik sürecini, hem de elini taşın altına koyarak kim başlattı? (Durum Tanımı, Kanıtsallık, İma)...”</w:t>
      </w:r>
      <w:r w:rsidRPr="00E97E0B">
        <w:rPr>
          <w:rFonts w:ascii="Times New Roman" w:eastAsia="Calibri" w:hAnsi="Times New Roman" w:cs="Times New Roman"/>
          <w:sz w:val="24"/>
          <w:szCs w:val="24"/>
          <w:vertAlign w:val="superscript"/>
        </w:rPr>
        <w:footnoteReference w:id="389"/>
      </w:r>
    </w:p>
    <w:p w14:paraId="324E2804"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sz w:val="24"/>
          <w:szCs w:val="24"/>
        </w:rPr>
        <w:t xml:space="preserve">İktidarın kazanıldığı dönemlerde her kesime hitap etme iddiası, özellikle ikinci görev döneminde daha belirgin bir biçimde ulusalcı ve kemalist grupların rakibi olması ve bunun için de toplumsal olarak özellikle o döneme kadar baskı altında kalmış toplumsal grupların desteğine olan ihtiyaç, demokratik bir açılımın başlaması için ağır basan bir motivasyon görünümündedir. Burada en çok öne çıkan grupların Kürtler ve Aleviler olduğu anlaşılmaktadır, ancak elbette sayıca küçük olsa da diğer grupları buna dahil etmek, hak ve özgürlüklerin vatandaşlık düzeyinde homojenize edilebilmesini sağlayacak esaslı bir frenleme mekanizmasının da meşruiyet zeminini oluşturmaktadır. Ak Parti’nin başkanı 2010 yılında, ilerleyen yıllarda da benzerini tekrarlayacağı bu konuşma ile açılım sürecinin başlatılması ve yürütülmesini hatırlatarak ve Alevi seçmene kısmî bir sitemle hitap ederek, durum tanımlaması yapmaktadır. Bu tanımlama, aynı zamanda bir kanıtsallık örneğidir, nitekim burada Demokratik Açılım ve Milli Birlik ve Kardeşlik sürecini başlatanların kendisi ve partisi olduğunu hatırlatarak, onlar için çalıştıklarını kanıta dayandırma stratejisine başvurulmaktadır. Aynı zamanda, ima içeren bu ifade ile Alevilerin Ak Parti ve kendisinin bu siyasi hamlelerinin kıymetini bilmesinin beklendiği kastedilmektedir.          </w:t>
      </w:r>
    </w:p>
    <w:p w14:paraId="7B61F4FF"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“…Alevi kardeşlerimin, Sünni kardeşlerimin sorunları yıllarca inkâr edildi. Azınlıkların, gayrımüslim vatandaşlarımın sorunları inkâr edildi. Birçok ekonomik sorun bu ülkede yıllarca görmezden gelindi, popülist politikalarla geçiştirilmeye çalışıldı (Durum Tanımı ve Kavramsallaştırması, Mesafe Koyma)</w:t>
      </w:r>
      <w:r w:rsidRPr="00E97E0B">
        <w:rPr>
          <w:rFonts w:ascii="Times New Roman" w:eastAsia="Calibri" w:hAnsi="Times New Roman" w:cs="Times New Roman"/>
          <w:sz w:val="24"/>
          <w:szCs w:val="24"/>
          <w:vertAlign w:val="superscript"/>
        </w:rPr>
        <w:footnoteReference w:id="390"/>
      </w:r>
      <w:r w:rsidRPr="00E97E0B">
        <w:rPr>
          <w:rFonts w:ascii="Times New Roman" w:eastAsia="Calibri" w:hAnsi="Times New Roman" w:cs="Times New Roman"/>
          <w:sz w:val="24"/>
          <w:szCs w:val="24"/>
        </w:rPr>
        <w:t xml:space="preserve"> </w:t>
      </w:r>
    </w:p>
    <w:p w14:paraId="7800C8C7" w14:textId="77777777" w:rsidR="002858AE" w:rsidRPr="00E97E0B" w:rsidRDefault="002858AE" w:rsidP="002858AE">
      <w:pPr>
        <w:spacing w:before="120" w:after="120" w:line="36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ab/>
        <w:t xml:space="preserve">Konuşmada yer alan bir diğer durum kavramsallaştırması ise, Alevilerin ve diğer grupların sorunlarının neredeyse tamamen görmezden gelindiği dönemlere işaret etmekle kendini göstermektedir. Burada asıl kastedilen Alevi vatandaşlardır, ancak ifadenin başında Alevileri, ondan sonra en baskın olan ve fakat seküler kanadın baskılarına maruz kaldığı belirtilen Sünnilerin izlemesinden anlamak mümkündür. Sonrasında ise daha küçük gruplar olan gayrimüslimlere değinilmiştir. Bu durum </w:t>
      </w:r>
      <w:r w:rsidRPr="00E97E0B">
        <w:rPr>
          <w:rFonts w:ascii="Times New Roman" w:eastAsia="Calibri" w:hAnsi="Times New Roman" w:cs="Times New Roman"/>
          <w:iCs/>
          <w:sz w:val="24"/>
          <w:szCs w:val="24"/>
        </w:rPr>
        <w:lastRenderedPageBreak/>
        <w:t>kavramsallaştırmasında, onların yaşadığı zorlukların hatırlanması ve daha iyi olan bugünleri sağlayan iktidarın kıymetini bilmeleri gerektiği ima edilmesi söz konusudur. Bunun yanında, kendisinden önceki yönetimleri ve genel olarak yönetim anlayışını, sorunları görmezden gelen ve popülist olarak tanımlamış ve kendisini bu anlayıştan ayırmıştır. Burada geçmiş yönetimlerle kendisini ayırma anlamı bulunmaktadır.</w:t>
      </w:r>
    </w:p>
    <w:p w14:paraId="51237B18" w14:textId="77777777" w:rsidR="002858AE" w:rsidRPr="00E97E0B" w:rsidRDefault="002858AE" w:rsidP="002858AE">
      <w:pPr>
        <w:spacing w:before="120" w:after="120" w:line="24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“…Gençler, bu terör örgütü ve uzantıları, bizim ikide bir tek dil dediğimizden bahsediyorlar. Ben hiçbir zaman tek dil ifadesini hiçbir yerde kullanmadım (Karşı Gerçeklik) …Ve ben o zaman dört tane kırmızı çizgimizin olduğunu söyledim, üç tane de yine ayrıca detay olarak üzerinde çalıştığımız ilkelerimizden bahsettim. Neydi o dört tane temel çizgi, başlık; bir, tek millet dedik. Çünkü biz, ayrışmaya karşıyız. Bölücülüğe ve bölünmeye karşıyız… …İki; biz işte burada da gördüğünüz gibi tek bayrak dedik, tek bayrak… …Değerli kardeşlerim, tek din dedik, dil değil din din, tek din, bunu söyledik. Üçüncüsü değerli kardeşlerim, tek devlet dedik. Yani, devletin içinde devlet, böyle bir şeye müsaade etmeyiz dedik. (Kural İfadesi) Üç ilkeye gelince ne dedik? Etnik milliyetçiliğe hayır dedik. Bizde etnik milliyetçilik olmayacak… …Değerli kardeşlerim, ikincisi; bizde dinsel milliyetçilik de yok. Yani biz, ben Müslüman’ım, ama ben Müslüman olmayana da en az Müslüman’a duyduğum saygı, en az Müslüman’ın güvencesi kadar onların da güvencesini sağlamakla mükellefim. (Aktör tanımı, Kural İfadesi)) Bu Hristiyan olabilir, Musevi olabilir, ateist olabilir, ne olursa olsun. Onun da güvencesini korumak, sağlamak bizim görevimizdir (Kural İfadesi) …”</w:t>
      </w:r>
      <w:r w:rsidRPr="00E97E0B">
        <w:rPr>
          <w:rFonts w:ascii="Times New Roman" w:eastAsia="Calibri" w:hAnsi="Times New Roman" w:cs="Times New Roman"/>
          <w:iCs/>
          <w:sz w:val="24"/>
          <w:szCs w:val="24"/>
          <w:vertAlign w:val="superscript"/>
        </w:rPr>
        <w:footnoteReference w:id="391"/>
      </w:r>
    </w:p>
    <w:p w14:paraId="59362AD9"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Erdoğan burada bir karşı gerçeklik sunarak, önceden yapmış olduğu bir konuşmayı değiştirmiştir. Önceleri sarf etmiş olduğu “…</w:t>
      </w:r>
      <w:r w:rsidRPr="00E97E0B">
        <w:rPr>
          <w:rFonts w:ascii="Times New Roman" w:eastAsia="Calibri" w:hAnsi="Times New Roman" w:cs="Times New Roman"/>
          <w:i/>
          <w:sz w:val="24"/>
          <w:szCs w:val="24"/>
        </w:rPr>
        <w:t>Benim milletimin dili tektir, bu Türk milleti</w:t>
      </w:r>
      <w:r w:rsidRPr="00E97E0B">
        <w:rPr>
          <w:rFonts w:ascii="Times New Roman" w:eastAsia="Calibri" w:hAnsi="Times New Roman" w:cs="Times New Roman"/>
          <w:iCs/>
          <w:sz w:val="24"/>
          <w:szCs w:val="24"/>
        </w:rPr>
        <w:t>…” sözlerinin güncellerken dört kırmızı çizgisine atıf yapmaktadır.</w:t>
      </w:r>
      <w:r w:rsidRPr="00E97E0B">
        <w:rPr>
          <w:rFonts w:ascii="Times New Roman" w:eastAsia="Calibri" w:hAnsi="Times New Roman" w:cs="Times New Roman"/>
          <w:iCs/>
          <w:sz w:val="24"/>
          <w:szCs w:val="24"/>
          <w:vertAlign w:val="superscript"/>
        </w:rPr>
        <w:footnoteReference w:id="392"/>
      </w:r>
      <w:r w:rsidRPr="00E97E0B">
        <w:rPr>
          <w:rFonts w:ascii="Times New Roman" w:eastAsia="Calibri" w:hAnsi="Times New Roman" w:cs="Times New Roman"/>
          <w:iCs/>
          <w:sz w:val="24"/>
          <w:szCs w:val="24"/>
        </w:rPr>
        <w:t xml:space="preserve"> Konuşmacı, tek millet, tek bayrak, tek din ve tek devlet ilkesini dile getirdikten sonra etnik, dinsel ve bölgesel milliyetçiliği kabul etmediğini söylemektedir. Burada Alevilerle ilgili önemli bir husus göze çarpmaktadır. Konuşmanın başında kural ifadesi olarak tek din diyen başbakan hemen devamında dinsel milliyetçiliği reddettiğini belirtmiş ve bu çelişkiyi aşmak için açıklama yapma gereği duymuştur. Yaptığı açıklama ise konuyla ilgili bakış açısını yansıtmak bakımından son derece anlamlıdır. Konuşmacı egemenliğin temsilcisi ve devletin başındaki kişi olarak bir Müslüman olduğunu ve Müslüman olmayanları korumak görevinin kendisinde olduğunu söylemektedir. Öncelikle Müslüman olduğunu dile getirmesi, kendi konumunu açık </w:t>
      </w:r>
      <w:r w:rsidRPr="00E97E0B">
        <w:rPr>
          <w:rFonts w:ascii="Times New Roman" w:eastAsia="Calibri" w:hAnsi="Times New Roman" w:cs="Times New Roman"/>
          <w:iCs/>
          <w:sz w:val="24"/>
          <w:szCs w:val="24"/>
        </w:rPr>
        <w:lastRenderedPageBreak/>
        <w:t xml:space="preserve">etmek bakımından anlamlı olup, yönetenin Müslüman olduğunu vurgulamış ve Müslüman kimliğinin egemen olduğunu dile getirmektedir. Dahası, mükellef olduğunu söylerken birinci tekil şahıs kullanması ve devletin yöneticisi konumundan bahsetmemesi, burada bir şahsen öne çıkma anlamı taşımaktadır ve bu ifade, lider olarak kendisine vurgu yapmayı özellikle tercih ettiği şekilde yorumlanabilir. Bu ifade, Alevilere yönelik, bahsi geçen hatırlatmalarla birlikte okunduğunda, garantör parti ve garantör lider olarak vazgeçilmezliğini ima anlamına da gelebilir. Bir diğer önemli nokta ise, burada doğrudan Alevilikten bahsedilmemiş olmasıdır. Alevilikten bahsedilmemesine rağmen burada Aleviler de konuya dahildir, çünkü Müslüman ve gayrimüslimden bahsedilerek, dinsel milliyetçiliğin kabul edilmeyeceği dile getirilmiş ancak gayrimüslimler açımlanmış ve Müslümanlar açımlanmamıştır. Bu söylemin tercih edilmesi, Aleviliğin Müslümanlığın bir parçası olarak görülmesinden kaynaklanıyor olabilir, nitekim daha sonrasında yaptığı konuşmalardan birinde, Erdoğan’ın Aleviliği ne düzeyde Müslümanlık kapsamında gördüğü ve tanımladığı anlaşılmaktadır. Burada ateistler dahil pek çok grubu tanımlasa da Alevileri tanımlamaması, bu anlamlandırmadan ileri gelmektedir. Buna karşın, Alevilerin ülke içi bir öteki olma konumu ortadan kalkmış değildir. Konuşmadaki diğer önemli husus, dinsel milliyetçiliğe bir başlık olarak yer verilmesidir. Ülkede ateist ve deistlerin sayılmadığı bir durumda Müslüman olmayan azınlığın son derece sınırlı bir sayıda olduğu göz önünde bulundurulduğunda, dinsel milliyetçiliğin böylesine bir ana başlık olması, Alevilerin düşünülerek ve dinsel kaynaklı bir kimlik benimsenmesine karşı yasaklayıcı bir argüman olarak bu ilkenin kullanılmak istendiğini akla getirmektedir. </w:t>
      </w:r>
    </w:p>
    <w:p w14:paraId="0E16AC97" w14:textId="77777777" w:rsidR="002858AE" w:rsidRPr="00E97E0B" w:rsidRDefault="002858AE" w:rsidP="002858AE">
      <w:pPr>
        <w:spacing w:before="120" w:after="120" w:line="24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“…Kimsenin konuşmadığı, konuşmaya cesaret dahi edemediği Dersim meselesi, merhum Üstad Necip Fazıl’ın kalemiyle bir nesle en doğru şekilde aktarılmıştır. (Otorite) Üstad Alevi dememiştir, Kürt dememiştir, Ermeni dememiştir… Necip Fazıl, Dersim’i ve Dersimlileri, ‘din mazlumları’ sınıfına alarak, onlara sadece insan gözlüğüyle bakarak, insani bir trajediyi bizlere aktarmıştır. (Ders Olarak Tarih) Bizim Dersim’le tanışmamız, Dersim’i dert edinmemiz, dünün veya bugünün konusu asla değildir. Biz, öyle birileri gibi, işine geleni ayyuka çıkaran, işine gelmeyen karşısında da susan, üzerini örtenlerden asla olmadık ve olmayız. (İma, Ulusal Övünç, Ötekini Kötü Gösterme, Mesafe Koyma) Bu ülkenin yakın tarihine, yakın tarihindeki meselelere tam bir samimiyet içinde yaklaşıyoruz ve her şeyin, ama her şeyin </w:t>
      </w:r>
      <w:r w:rsidRPr="00E97E0B">
        <w:rPr>
          <w:rFonts w:ascii="Times New Roman" w:eastAsia="Calibri" w:hAnsi="Times New Roman" w:cs="Times New Roman"/>
          <w:iCs/>
          <w:sz w:val="24"/>
          <w:szCs w:val="24"/>
        </w:rPr>
        <w:lastRenderedPageBreak/>
        <w:t>aydınlatılması için de samimiyetle mücadele veriyoruz (Empati, Durum Tanımlaması)…”</w:t>
      </w:r>
      <w:r w:rsidRPr="00E97E0B">
        <w:rPr>
          <w:rFonts w:ascii="Times New Roman" w:eastAsia="Calibri" w:hAnsi="Times New Roman" w:cs="Times New Roman"/>
          <w:iCs/>
          <w:sz w:val="24"/>
          <w:szCs w:val="24"/>
          <w:vertAlign w:val="superscript"/>
        </w:rPr>
        <w:footnoteReference w:id="393"/>
      </w:r>
    </w:p>
    <w:p w14:paraId="16E7C399" w14:textId="77777777" w:rsidR="002858AE" w:rsidRPr="00E97E0B" w:rsidRDefault="002858AE" w:rsidP="002858AE">
      <w:pPr>
        <w:spacing w:before="120" w:after="120" w:line="36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ab/>
        <w:t xml:space="preserve">Erdoğan, konuşmalarında genel olarak keskin anlamları ifade eden, </w:t>
      </w:r>
      <w:r w:rsidRPr="00E97E0B">
        <w:rPr>
          <w:rFonts w:ascii="Times New Roman" w:eastAsia="Calibri" w:hAnsi="Times New Roman" w:cs="Times New Roman"/>
          <w:i/>
          <w:sz w:val="24"/>
          <w:szCs w:val="24"/>
        </w:rPr>
        <w:t xml:space="preserve">asla, her şey, olmadık olmayız, tam </w:t>
      </w:r>
      <w:r w:rsidRPr="00E97E0B">
        <w:rPr>
          <w:rFonts w:ascii="Times New Roman" w:eastAsia="Calibri" w:hAnsi="Times New Roman" w:cs="Times New Roman"/>
          <w:iCs/>
          <w:sz w:val="24"/>
          <w:szCs w:val="24"/>
        </w:rPr>
        <w:t>ifadelerine sıklıkla başvurmaktadır. Bu kullanımlar, cümlelerdeki anlamları pekiştirmek ve katiyet ifade ederek, dinleyicide şüpheye yer bırakmama gibi bir amacın olduğunu sezdirmektedir. Bu ifadeler, bir lider olarak baskın bir karaktere sahip olmasıyla ilgili olabilir. Bu karakteristik özellik, sıklıkla imalı bir öteki anlatımıyla kesişmektedir. Erdoğan’ın öteki tanımları ve anlatımları her zaman örtük olmamıştır ve sıklıkla öteki olanlar, konuşmanın bir yerlerinde en bir defa tanımlanmakta ve açık olarak söylenmektedir.</w:t>
      </w:r>
    </w:p>
    <w:p w14:paraId="54477489" w14:textId="74F6A681" w:rsidR="002858AE" w:rsidRPr="00E97E0B" w:rsidRDefault="002858AE" w:rsidP="002858AE">
      <w:pPr>
        <w:spacing w:before="120" w:after="120" w:line="36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ab/>
        <w:t xml:space="preserve">Erdoğan konuşmasında, muhafazakâr dindar tabanda yaygınlıkla tercih edilen bir referans olan şair Necip Fazıl Kısakürek’e gönderme yapmaktadır. Fikri manada otorite olarak başvurulan Kısakürek, seçmeninin çoğunluğu tarafından isimlendirdiği </w:t>
      </w:r>
      <w:r w:rsidRPr="00E97E0B">
        <w:rPr>
          <w:rFonts w:ascii="Times New Roman" w:eastAsia="Calibri" w:hAnsi="Times New Roman" w:cs="Times New Roman"/>
          <w:i/>
          <w:sz w:val="24"/>
          <w:szCs w:val="24"/>
        </w:rPr>
        <w:t xml:space="preserve">üstad </w:t>
      </w:r>
      <w:r w:rsidRPr="00E97E0B">
        <w:rPr>
          <w:rFonts w:ascii="Times New Roman" w:eastAsia="Calibri" w:hAnsi="Times New Roman" w:cs="Times New Roman"/>
          <w:iCs/>
          <w:sz w:val="24"/>
          <w:szCs w:val="24"/>
        </w:rPr>
        <w:t>lakabıyla hatırlanmıştır. Bu söylem, bir tarihsel ders niteliği taşımaktadır. Hem bir otorite hem de tarihsel anlatının aktarıcısı olarak konuşmada yer verilen şair, seçmenle ortak referansa gönderme yapmak hem onu ikna etmek hem de takdirini kazanmak bakımından önem arz etmektedir. Ayrıca, otorite kaynağı şair de cesaretiyle başkalarından ayrılarak övülmekte ve kabul ettiği otorite başvurduğu referans olarak sözlerini daha güçlü kılmaktadır.</w:t>
      </w:r>
    </w:p>
    <w:p w14:paraId="544E8F33"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Dersim isminin kullanılması ayrıca bir anlam taşımaktadır. Dersim, adı 1935’te hilafeti ve saltanatı kaldıran Cumhuriyet’in kurucu kadroları tarafından bölgede yaşanan olayların sonrasında Tunceli adının verildiği vilayet için kullanılmıştır. Tunceli ilinin bu eski adı, tarihsel bir referans olarak seküler Cumhuriyet kadrolarının ideolojik perspektifiyle ve günümüzdeki temsilcileriyle ayrışmaya işaret etmektedir. Erdoğan, CHP’nin kurumsal devamı ve temsilcisi olduğu siyaset karşısında, Dersim Olayları ve buna bağlı meseleleri gündeme getirerek hem ötekisi olan CHP’yi konumlandırmakta, hem de Alevilerin çoğunluğunun destek verdiği CHP’den Alevi seçmeni kendi tarafına çekmeyi amaçlamaktadır. Bu kesitte dikkat çeken bir diğer husus, Erdoğan’ın biz tekrarı ve vurgusudur. Tekrar ve vurgu bu örnekte örtük bir </w:t>
      </w:r>
      <w:r w:rsidRPr="00E97E0B">
        <w:rPr>
          <w:rFonts w:ascii="Times New Roman" w:eastAsia="Calibri" w:hAnsi="Times New Roman" w:cs="Times New Roman"/>
          <w:iCs/>
          <w:sz w:val="24"/>
          <w:szCs w:val="24"/>
        </w:rPr>
        <w:lastRenderedPageBreak/>
        <w:t>şekilde CHP’yi işaret ederek kendi iç grubunu ondan ayırmaktadır. Bu mesafe koyma, karşı tarafa olumsuz özellikler yükleyerek, dinleyici nezdinde ulusal övünçle karışık bir şekilde iç gruba dahil olma motivasyonu uyandırmaya yöneliktir. Buradaki övünç, kısmen ulusal nitelikli olsa da, partizan övüncü daha fazla içermektedir. Diğer taraftan, söylemde üstlenilen rol, olayların aydınlatılması için içtenlikle mücadele etmektir. Bu rolün niteliği olan samimiyet, aynı zamanda bir tarafsızlık görünümü kazandıran bir özelliktedir. Bu da inandırıcılığı perçinlemeyi amaçlamaktadır.</w:t>
      </w:r>
    </w:p>
    <w:p w14:paraId="64D872CA" w14:textId="5570222B" w:rsidR="002858AE" w:rsidRPr="00E97E0B" w:rsidRDefault="002858AE" w:rsidP="002858AE">
      <w:pPr>
        <w:spacing w:before="120" w:after="120" w:line="24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“…Biz kendimiz için değil, herkes için adalet istiyoruz. (Empati) Ülkemiz için adalet istiyoruz, bağımsız, güvenilir ve tarafsız yargı diyoruz. (Empati, Yasallık) Yargı ideolojik davranmayacak. (Yasallık, Kural İfadesi) ‘Efendim davranmıyoruz.’ Davrandın, davrandın. Bana da davrandın</w:t>
      </w:r>
      <w:r w:rsidR="00794598" w:rsidRPr="00E97E0B">
        <w:rPr>
          <w:rFonts w:ascii="Times New Roman" w:eastAsia="Calibri" w:hAnsi="Times New Roman" w:cs="Times New Roman"/>
          <w:iCs/>
          <w:sz w:val="24"/>
          <w:szCs w:val="24"/>
        </w:rPr>
        <w:t>.</w:t>
      </w:r>
      <w:r w:rsidRPr="00E97E0B">
        <w:rPr>
          <w:rFonts w:ascii="Times New Roman" w:eastAsia="Calibri" w:hAnsi="Times New Roman" w:cs="Times New Roman"/>
          <w:iCs/>
          <w:sz w:val="24"/>
          <w:szCs w:val="24"/>
        </w:rPr>
        <w:t xml:space="preserve"> (Karşı Gerçeklik) Ben bizzat bedelini ödedim. Yargıtay'da maalesef belli bir mezhebi grup bu noktada öyle yaklaştı. (Ötekini Kötü Gösterme, Örtmece) Yaptığım neydi benim? Sadece okuduğum bir şiirdi. Bir şiirin bedeliydi (Kurbanlaştırma)…”</w:t>
      </w:r>
      <w:r w:rsidRPr="00E97E0B">
        <w:rPr>
          <w:rFonts w:ascii="Times New Roman" w:eastAsia="Calibri" w:hAnsi="Times New Roman" w:cs="Times New Roman"/>
          <w:iCs/>
          <w:sz w:val="24"/>
          <w:szCs w:val="24"/>
          <w:vertAlign w:val="superscript"/>
        </w:rPr>
        <w:footnoteReference w:id="394"/>
      </w:r>
    </w:p>
    <w:p w14:paraId="5EB8925D"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Benzer bir eşitlikçi iddia burada da görülmektedir. Herkes için adalet istemek, dinleyiciyi kulak vermeye davet eden bir genelleştirme ve empati anlamı içermektedir. Aynı zamanda, çoğu dinleyicinin kolaylıkla hoşuna gidecek ve çoğu siyasetçinin bir benzerini kullandığı genel nitelikli bir cümledir. Hazırladığı ve devamında gelen, yasallık ifade eden ve benzer nitelikli genel kuralları tanımlayan yargıda tarafsızlığın önemini vurgulayan bir cümledir. Ancak kural cümlesini bile </w:t>
      </w:r>
      <w:r w:rsidRPr="00E97E0B">
        <w:rPr>
          <w:rFonts w:ascii="Times New Roman" w:eastAsia="Calibri" w:hAnsi="Times New Roman" w:cs="Times New Roman"/>
          <w:i/>
          <w:sz w:val="24"/>
          <w:szCs w:val="24"/>
        </w:rPr>
        <w:t>biz</w:t>
      </w:r>
      <w:r w:rsidRPr="00E97E0B">
        <w:rPr>
          <w:rFonts w:ascii="Times New Roman" w:eastAsia="Calibri" w:hAnsi="Times New Roman" w:cs="Times New Roman"/>
          <w:iCs/>
          <w:sz w:val="24"/>
          <w:szCs w:val="24"/>
        </w:rPr>
        <w:t xml:space="preserve"> zamiri kullanarak kurmuştur. Bu ifade, diğerlerinin bu konudaki konumlarını daha uzak bir yerde tanımlamayı beraberinde getirmektedir, dolayısıyla tarafsızlığa en yakın olan iç grup olarak gösterilmektedir. Devamında, yargı erkinin tarafsızlığı gelecek zaman kipinde kural koyucu bir tonda vurgulanmıştır. Takip eden cümle alıntıdır vebu alıntı kendi siyasi geçmişinde yaşadığı bir olaya dair eleştiriyi yönelttiği kesimin ağzından gelecek şekilde verilmiştir. İdeolojik davranılarak, ifade ve düşünce özgürlüğünün kısıtlandığı ve bu bağlamda kendisinin hapis cezasına mahkûm edildiği kastedilerek “davrandın” diyerek karşı gerçeklik temasına başvurulmuştur. Okuduğu şiir nedeniyle içeri girdiğini hatırlatan Erdoğan, burada mağdur olduğunu vurgulamaktadır. Bu vurgulama, çeşitli politikaların mağduru olanlarla bir empati kurmasına yönelik olarak </w:t>
      </w:r>
      <w:r w:rsidRPr="00E97E0B">
        <w:rPr>
          <w:rFonts w:ascii="Times New Roman" w:eastAsia="Calibri" w:hAnsi="Times New Roman" w:cs="Times New Roman"/>
          <w:iCs/>
          <w:sz w:val="24"/>
          <w:szCs w:val="24"/>
        </w:rPr>
        <w:lastRenderedPageBreak/>
        <w:t>da görülebilir. Bu kesitte ele alınankonu itibariyle önemli olan diğer bir nokta ise mağduriyetine neden olanların kimliğidir ve “belli bir mezhebî grup” ifadesi doğrudan Alevileri işaret etmektedir, fakatbunu dolaylı olarak söylemeyi tercih etmiştir. İsim vermemesine rağmen konuşmacı, Türkiye siyaseti hakkında genel bilgisi olan birinin kolaylıkla hangi grubun kastedildiğini tahmin edebileceği bu örtmece ile, aynı zamanda kötü gösterilen ötekinin mezhebî grubuna vurgu yapılmaktadır. Bu vurgu söyleminde o mezhebi de dış grup olarak konumlandırdığı anlamına gelmektedir. Bu dış grup, bu kesitte haksızlık yapan, ideolojik bakan ve tarafsız olmayan bir özellik ile ilişkilendirilmektedir.</w:t>
      </w:r>
    </w:p>
    <w:p w14:paraId="69D3D199" w14:textId="77777777" w:rsidR="002858AE" w:rsidRPr="00E97E0B" w:rsidRDefault="002858AE" w:rsidP="002858AE">
      <w:pPr>
        <w:spacing w:before="120" w:after="120" w:line="24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“…Etnik kökenler, inançlar üzerinden ayrımcılık yaparak siyaset üretenlere prim vermeyeceğiz. (Karşı Gerçeklik, Kural İfadesi) Alevisiyle Sünnisiyle biz bu ülkede bir olacağız beraber olacağız. (Empati İfadesi) Kılıçdaroğlu varsın bunu durmadan kullansın. (Ötekini Kötü Gösterme) Kılıçdaroğlu sen kendin Alevi olabilirsin. Ben sana saygı duyarım, bundan da çekinme korkma, bunu da rahat rahat söyle. Ben de Sünniyim ben de bunu rahat rahat söylüyorum. Bundan çekinmeye gerek yok. Onun için milleti aldatmaya da gerek yok. (Ötekini Kötü Gösterme) Tehditle istismarla siyaset yapanlara oy vermeyeceğiz. (Kutuplaştırma, İma) İzmir’de Türk bayrağını istismar edeceksin. Hakkari’ye gidip Türk bayrağını yok sayacaksın. Ey Kılıçdaroğlu ne anlaşması yaptın da acaba oradaki mitingde bir tane Türk bayrağı bulunduramadın (İma, Kutuplaştırma)…”</w:t>
      </w:r>
      <w:r w:rsidRPr="00E97E0B">
        <w:rPr>
          <w:rFonts w:ascii="Times New Roman" w:eastAsia="Calibri" w:hAnsi="Times New Roman" w:cs="Times New Roman"/>
          <w:iCs/>
          <w:sz w:val="24"/>
          <w:szCs w:val="24"/>
          <w:vertAlign w:val="superscript"/>
        </w:rPr>
        <w:footnoteReference w:id="395"/>
      </w:r>
    </w:p>
    <w:p w14:paraId="7E1CD649"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Ele alınan bu konuşma kesitinde, karşı gerçeklik olarak tanımlanan inanç ayrımcılığı reddiyesi ile başlanmıştır. Bu reddiye bir kural ifadesi biçiminde verilmiştir. İlk bakışta, koyulan bu kuralın cümlenin devamında, bir ayrımcılık örneğinin verilip, bunun kınanması şeklinde devam etmesi beklentisi söz konusu olmaktadır. Ancak bu ifadenin devamında önce bir empati ifadesi ile ilk ifade pekiştirilmiş ve birlik mesajı verilmiş, ardından ise siyasi rakibi Kılıçdaroğlu bu ayrımcılığın örneği gibi sunulmuştur. Cümledeki “varsın kullansın” ifadesi, anlamca bahsi geçen CHP genel başkanının ayrımcılık üzerinden siyaset yaptığı anlamını taşımaktadır. Ancak, konuşmada bunun herhangi bir şekilde açıklamasına geçilmemiş ve Alevi kimliği üzerinden Kılıçdaroğlu hedef alınmıştır. Burada başlangıçtaki “sen kendin Alevi olabilirsin” cümlesi, dilbilgisi açısından dikkate değerdir, zira vurgu şahsa yönelik olup kendin kelimesi ile yapılmıştır. Türkçede “sen Alevi olabilirsin” ifadesi de aynı anlama gelebilecekken “kendin” vurgusuna başvurulmuştur. Hemen ardından, “ben sana saygı duyarım bundan da çekinme korkma” şeklinde ironi yapan </w:t>
      </w:r>
      <w:r w:rsidRPr="00E97E0B">
        <w:rPr>
          <w:rFonts w:ascii="Times New Roman" w:eastAsia="Calibri" w:hAnsi="Times New Roman" w:cs="Times New Roman"/>
          <w:iCs/>
          <w:sz w:val="24"/>
          <w:szCs w:val="24"/>
        </w:rPr>
        <w:lastRenderedPageBreak/>
        <w:t xml:space="preserve">bir ifadeye başvurulmuştur. Burada oldukça güçlü bir ironinin varlığından bahsedilebilir, zira Alevi olmaktan korkmaması gerektiği söylenirken, zaten bunu düşünmek için herhangi bir sebebi olmayan birine bunun söylenmesi, ilk olarak bu ifadenin zıttı bir etkiye sebep olacaktır. Öyle ki bu cümle olmayan bir durumu kavramsallaştırmaktadır. Ayrıca, Erdoğan’ın konuşmasında Kılıçdaroğlu’na güvence vermesi, kendisini kimliği konusunda yargılama hakkını haiz ve bunu lutfen yapmamayı tercih eden bir odak olarak konumlandırması olarak anlaşılabilir. Bu anlamı kısmen hafifletecek bir sonraki cümle ise kendisini Sünni olarak tanımlayıp kendisinin de bunu söylemekten çekinmediğini belirttiği cümledir. Bu cümlede, rakibi ile kendisini eşitlemektedir, ancak sonraki ifade önceki cümlelerin tamamının ironi olduğunu gösterir niteliktedir. “Onun için milleti aldatmaya da gerek yok” ifadesi ima yoluyla da olsa öteki olan kimliğin seçmen gözünde makbul olmayan bir nitelikte olduğunu ilan etmekte, makbul olmayan bu niteliğe sahip Kılıçdaroğlu’nun kendisini farklı göstermeye çalıştığını ve halkı aldattığını söylemektedir. Burada konuşmacının makbul olmadığını düşündüğü ya da seçmenin gözünde makbul olmayacağını düşündüğü niteliğin Alevilik olduğunu anlaşılmaktadır. Burada konuşma özelinde nihai hedef siyasi rakip olsa da Alevilik dolaylı olarak burada asıl kötülenen unsur olmaktadır; zira rakip örtülü olarak bu özelliği üzerinden hedef alınmaktadır. Dahası, bununla ilişkili bir şekilde mitingdeki bayrak bulunma durumuna göre kutuplaştırıcı bir söylem stratejisi kullanarak rakibini ikiyüzlülük ve bayrağa, yani sembolize ettiği milli değerlere ve devlete karşı olmakla tanımlamaktadır. </w:t>
      </w:r>
    </w:p>
    <w:p w14:paraId="3355AA74"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Buna benzer ve aynı zamanda bu ifadelerin tesadüfen dile getirilmediğini gösteren bir diğer örnek, CHP Genel Başkanı’nın Dersimli olması üzerinden dile getirilmiştir. Israrlı bir şekilde, rakibinin olduğundan farklı bir kökeninin olduğu iddiasını öne süren konuşmacı, kendi seçmeninin bu kimlikten hoşlanmadığı düşüncesinden hareketle bir paragraflık konuşma içinde üst üste ima ifadesine başvurmaktadır. Burada, rakibinin kendi seçmeninin de bu durumdan hoşlanmayacağı tahminde bulunduğu konuşmasında “bizim inancımızda kimse kökeninden dolayı hor görülmez” demektedir. Bu cümle, kendi iç grubunu tanımlamak için kullandığı bir ifadedir. Dış grupta bunun böyle olmadığını düşündüğü için bu ısrarlı hatırlatmayı yapıyor olabileceği düşünülebilir. </w:t>
      </w:r>
    </w:p>
    <w:p w14:paraId="7878E866"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lastRenderedPageBreak/>
        <w:t xml:space="preserve">Konuşmada kullanılan diğer bir tema ise karşı gerçeklik temasıdır. Bir siyasinin, siyasi rakibinin etnik kökeni üzerinde bu kadar ısrarlı olması, seçmen kitlesinin de tercihinin köken temelli olduğu kanaatine sahip olmasıyla ilişkilendirilebilir. Bu kanaat ile kökenin oy verme davranışını veya öteki olma konumunu aslında ciddi bir şekilde etkileyebildiğini göstermektedir. En azından konuşmacının kanaatinin bu olması gerekir, çünkü eğer bu doğru değilse konuşmacı siyasi söylem stratejisi bakımından kendisini zora düşürecek bir tercihte bulunmuş olacaktır. </w:t>
      </w:r>
    </w:p>
    <w:p w14:paraId="51787D1A" w14:textId="77777777" w:rsidR="002858AE" w:rsidRPr="00E97E0B" w:rsidRDefault="002858AE" w:rsidP="002858AE">
      <w:pPr>
        <w:spacing w:after="0" w:line="24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“…Neden göğsünü gere gere 'ben Dersimliyim' diyemediğini anlamakta zorlanıyoruz. Niye bundan çekiniyorsun? Niye (İma) “Bakın… Haftalardır, CHP Genel Başkanı, her gittiği yerde soyundan bahsediyor, soyağacından bahsediyor. Gittiği her yerde, köklerinin Akşehir’de olduğunu altını çize çize vurguluyor. Buna neden ihtiyaç duyduğunu anlamış değiliz. (İma) Neden göğsünü gere gere Tuncelili, Dersimli olduğunu söylemekten çekindiğini anlamış değiliz. (İma) Bizim inancımıza göre insanın soyu sopu, ırkı, rengi, kökeni üstünlük kaynağı değildir. (Karşı Gerçeklik) Biz Yaradılanı Yaratandan dolayı seven bir anlayışa sahibiz. Bizim yönetim anlayışımızda hiç kimse soyundan, ırkından, kökeninden dolayı hor görülemez, dışlanamaz; herkes kökenini rahatlıkla ortaya koyabilir. Kökenini inkar edenlerden, kimliğini saklayanlardan ise kimseye bir yarar gelmez (Karşı Gerçeklik)…”</w:t>
      </w:r>
      <w:r w:rsidRPr="00E97E0B">
        <w:rPr>
          <w:rFonts w:ascii="Times New Roman" w:eastAsia="Times New Roman" w:hAnsi="Times New Roman" w:cs="Times New Roman"/>
          <w:iCs/>
          <w:sz w:val="24"/>
          <w:szCs w:val="24"/>
          <w:vertAlign w:val="superscript"/>
        </w:rPr>
        <w:footnoteReference w:id="396"/>
      </w:r>
    </w:p>
    <w:p w14:paraId="16642597" w14:textId="4B5E4171" w:rsidR="002858AE" w:rsidRPr="00E97E0B" w:rsidRDefault="002858AE" w:rsidP="002858AE">
      <w:pPr>
        <w:spacing w:after="0" w:line="360" w:lineRule="auto"/>
        <w:ind w:firstLine="720"/>
        <w:jc w:val="both"/>
        <w:rPr>
          <w:rFonts w:ascii="Times New Roman" w:eastAsia="Times New Roman" w:hAnsi="Times New Roman" w:cs="Times New Roman"/>
          <w:iCs/>
          <w:sz w:val="24"/>
          <w:szCs w:val="24"/>
        </w:rPr>
      </w:pPr>
      <w:r w:rsidRPr="00E97E0B">
        <w:rPr>
          <w:rFonts w:ascii="Times New Roman" w:eastAsia="Times New Roman" w:hAnsi="Times New Roman" w:cs="Times New Roman"/>
          <w:iCs/>
          <w:sz w:val="24"/>
          <w:szCs w:val="24"/>
        </w:rPr>
        <w:t xml:space="preserve">Erdoğan’ın Alevilik tanımıyla ilgili olarak dikkat çeken bir diğer kesit,hem Sünni İslam’ın hem de Aleviliğin önemli bir figürü olan Ali bin Ebu Talib’den bahsettiği konuşmadır. Konuya girerken sıklıkla kullandığı bir tür kardeşlik teması ile giriş yapmaktadır. Bu yöntem, aynı zamanda muhatabın yaklaşımını olabildiğince olumlu hale getirmeyi amaçlamaktadır. Burada tatlı sert bir dil ile Alevilik ve Sünniliğin ayrımı reddedilmektedir. Bunun üzerinden ayrım yapmanın kabul edilemez olduğu kastedilmektedir. Sonrasında, Aleviliğin adından yola çıkarak bir çıkarım yapılmaktadır. Alevilik Ali’yi sevmeye indirgenmekte ve bu durumun sabit olduğunu belirtmek için istifhama başvurulmaktadır. Buradan yola çıkarak, Alevi’yle Sünni’nin arasında bir fark olmadığı, ikisinin de Müslüman olduğu ve buradan da yola çıkılarak ikisinin aslında aynı şey olduğu sonucuna varılmaktadır. Bu, Alevilik kavramını Sünniliğe eşitleyen, dolayısıyla ikisini aynı şey yapan ve aslında Aleviliği anlamsızlaştıran bir stratejidir. Sünni kimlik sahibi olarak, Sünni perspektiften Ali’yi seven birinin de Alevi olduğu sonucunu çıkarmak, bütün Sünnileri de bu tanım kapsamında Alevi saymaktadır. Yanlış bir öncülden yola çıkarak, şeklen bir </w:t>
      </w:r>
      <w:r w:rsidRPr="00E97E0B">
        <w:rPr>
          <w:rFonts w:ascii="Times New Roman" w:eastAsia="Times New Roman" w:hAnsi="Times New Roman" w:cs="Times New Roman"/>
          <w:iCs/>
          <w:sz w:val="24"/>
          <w:szCs w:val="24"/>
        </w:rPr>
        <w:lastRenderedPageBreak/>
        <w:t xml:space="preserve">tümdengelim yapan konuşmacı, “Alevilik Ali’yi sevmektir, ben de Ali’yi seviyorum, o zaman Aleviyim.” tümdengelimini, “tüm Aleviler Ali’yi sever, Sünniler de Ali’yi sever, o zaman Aleviler de Sünnidir” gibi bir tümevarımla birleştirmek istemektedir. Bu tasımların ilkinin ilk önermesi, toplumsal ve kültürel gerçekliği yansıtmamaktadır. İkinci olarak ele alınan tasım olan tümdengelim ise mantıksal olarak hatalıdır. A’nın bir özelliği, B’nin bir diğer özelliğiyle ortak olduğunda A=B olmamaktadır, ancakburada çıkarılmak istenen anlam böyle bir akıl yürütme yöntemiyle elde edilmiştir. Mezhepsel farklılıkları ortadan kaldırmak ve bir mezhebin diğeriyle olan ortaklığı üzerinden onu tanımlamak mantıksal bir çelişki barındırır ve bir şeyin içeriğini bir başka içeriğe eşitleyecek şekilde indirgemek olur. Bu tanımlama, aradaki farkları anlamsızlaştırma ve aradaki farkları kabul etmeme gibi bir sonuca da yol açabilmektedir. </w:t>
      </w:r>
    </w:p>
    <w:p w14:paraId="1B02CEDA" w14:textId="77777777" w:rsidR="002858AE" w:rsidRPr="00E97E0B" w:rsidRDefault="002858AE" w:rsidP="002858AE">
      <w:pPr>
        <w:spacing w:after="0" w:line="240" w:lineRule="auto"/>
        <w:ind w:firstLine="720"/>
        <w:jc w:val="both"/>
        <w:rPr>
          <w:rFonts w:ascii="Times New Roman" w:eastAsia="Times New Roman" w:hAnsi="Times New Roman" w:cs="Times New Roman"/>
          <w:iCs/>
          <w:sz w:val="24"/>
          <w:szCs w:val="24"/>
        </w:rPr>
      </w:pPr>
    </w:p>
    <w:p w14:paraId="55C62F20" w14:textId="77777777" w:rsidR="002858AE" w:rsidRPr="00E97E0B" w:rsidRDefault="002858AE" w:rsidP="002858AE">
      <w:pPr>
        <w:spacing w:after="0" w:line="360" w:lineRule="auto"/>
        <w:ind w:firstLine="720"/>
        <w:jc w:val="both"/>
        <w:rPr>
          <w:rFonts w:ascii="Times New Roman" w:eastAsia="Times New Roman" w:hAnsi="Times New Roman" w:cs="Times New Roman"/>
          <w:iCs/>
          <w:sz w:val="24"/>
          <w:szCs w:val="24"/>
        </w:rPr>
      </w:pPr>
      <w:r w:rsidRPr="00E97E0B">
        <w:rPr>
          <w:rFonts w:ascii="Times New Roman" w:eastAsia="Times New Roman" w:hAnsi="Times New Roman" w:cs="Times New Roman"/>
          <w:iCs/>
          <w:sz w:val="24"/>
          <w:szCs w:val="24"/>
        </w:rPr>
        <w:t>Yapılan bilinçli çıkarsama, kardeşlik ve birlik mesajını da ima etmekle birlikte Alevi kimliğinin ayrı bir kimlik olarak kabul edilmemesi sonucuna neden olmaktadır. Bu noktaya kadar bir birlik mesajı içeren bu konuşma, “ama” bağlacının sonrasında öteki tanımını ortaya çıkarmaktadır. “Alevi’yim diyip Ali’nin yaşam tarzından uzak olanlar” Aleviliğin hangi sınırlar içinde meşru ve kabul edilebilir olduğunu çizme anlamına gelmektedir. Bu da Aleviliğin konuşmacının perspektifine göre farklı yorumlanması durumunda meşru kabul edilmediği anlamına gelmektedir. Dahası, yaşam biçimi kavramının konuya dahil edilmesi, başbakanın yaşam biçimi belirleme amacını göstermektedir. Bu durumda, Ali’yi seven biri zaten Müslüman olduğuna göre Müslümanlık da Sünni bir perspektife uygunluğu ölçüsünde kabul edilebilir olduğuna göre, yapılabilecek en muhtemel çıkarım; Alevilik diye bir şeyin ancak Ali’yi sevmek anlamı dahilinde meşru olabileceği, ayrı bir inanç biçimi veya yorumu olması durumunda ise meşru olmayan bir konuma geçmesidir. Bu meşruiyetin ölçüsü, konuşmacının meşru ve doğru kabul ettiği mezhep veya inanç biçimi olabilir. Devamında gelen ifadedeki bölücülük uyarısı ise bunun dışına çıkmanın bölücülükle suçlanacağı sonucunu kastetmektedir.</w:t>
      </w:r>
    </w:p>
    <w:p w14:paraId="2F0AC5BA" w14:textId="77777777" w:rsidR="002858AE" w:rsidRPr="00E97E0B" w:rsidRDefault="002858AE" w:rsidP="002858AE">
      <w:pPr>
        <w:spacing w:after="0" w:line="240" w:lineRule="auto"/>
        <w:ind w:firstLine="720"/>
        <w:jc w:val="both"/>
        <w:rPr>
          <w:rFonts w:ascii="Times New Roman" w:eastAsia="Times New Roman" w:hAnsi="Times New Roman" w:cs="Times New Roman"/>
          <w:iCs/>
          <w:sz w:val="24"/>
          <w:szCs w:val="24"/>
        </w:rPr>
      </w:pPr>
    </w:p>
    <w:p w14:paraId="4B504803" w14:textId="77777777" w:rsidR="002858AE" w:rsidRPr="00E97E0B" w:rsidRDefault="002858AE" w:rsidP="002858AE">
      <w:pPr>
        <w:spacing w:after="0" w:line="360" w:lineRule="auto"/>
        <w:ind w:firstLine="720"/>
        <w:jc w:val="both"/>
        <w:rPr>
          <w:rFonts w:ascii="Times New Roman" w:eastAsia="Times New Roman" w:hAnsi="Times New Roman" w:cs="Times New Roman"/>
          <w:iCs/>
          <w:sz w:val="24"/>
          <w:szCs w:val="24"/>
        </w:rPr>
      </w:pPr>
      <w:r w:rsidRPr="00E97E0B">
        <w:rPr>
          <w:rFonts w:ascii="Times New Roman" w:eastAsia="Times New Roman" w:hAnsi="Times New Roman" w:cs="Times New Roman"/>
          <w:iCs/>
          <w:sz w:val="24"/>
          <w:szCs w:val="24"/>
        </w:rPr>
        <w:t xml:space="preserve">Bu tanımın hemen ardından, mezhep kavgasından bahsedilmesi kesitte yer alan önemli ifadelerdir. Alevilik inancını Sünnilik içinde veya İslam içinde tanımlamamak, mezhep kavgasının sebebi olarak sunulmaktadır. Zira buradaki uyarı hemen bu </w:t>
      </w:r>
      <w:r w:rsidRPr="00E97E0B">
        <w:rPr>
          <w:rFonts w:ascii="Times New Roman" w:eastAsia="Times New Roman" w:hAnsi="Times New Roman" w:cs="Times New Roman"/>
          <w:iCs/>
          <w:sz w:val="24"/>
          <w:szCs w:val="24"/>
        </w:rPr>
        <w:lastRenderedPageBreak/>
        <w:t xml:space="preserve">tanımın devamında yer almakta ve onun tamamlayıcı argümanı olarak sunulmaktadır. Bu nedenle, kurulan cümlenin bağlamı öteki tanımını ortaya koymak bakımından önemlidir. Ayrıca, bölücülük ifadesi, Türkiye Cumhuriyeti vatandaşları ve seçmeni için yıllardır içinde bulunduğu terörle mücadele sürecini de kaçınılmaz olarak çağrıştırmaktadır. Bu da ötekilik bağlamında, dinleyicinin bir kısmının, Aleviliğin potansiyel bir tehlike faktörü olarak tanımlayabileceği ya da tanımlandığı sonucunun çıkarılmasına müsait bir söylemdir. </w:t>
      </w:r>
    </w:p>
    <w:p w14:paraId="61E773F4" w14:textId="77777777" w:rsidR="002858AE" w:rsidRPr="00E97E0B" w:rsidRDefault="002858AE" w:rsidP="002858AE">
      <w:pPr>
        <w:spacing w:before="120" w:after="120" w:line="24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“…Alevilik Sünnilik ne demek ya! (Kardeşlik) Alevilik Hz. Ali (r.a.) Efendimizi sevmek değil mi? Alevi Müslüman değil mi? Sünni de Müslüman. Eğer Alevilik Hz. Ali’yi sevmekse, ben dört dörtlük bir Aleviyim. (Empati) Çünkü Hz. Ali Efendimizi çok seviyorum. Sevgililer Sevgilisinin damadı, dördüncü halife, cengâver, ben onu nasıl sevmem! (Övünç) O nasıl yaşıyorsa ben de onun gibi yaşamaya gayret ediyorum. (Övünç, Takdir etme) Ama Alevi’yim diye ortaya çıkıp Hz. Ali’nin yaşam şeklinden uzak olanlara söyleyecek hiçbir şeyim yok. (Ötekini Kötü Gösterme, Kutuplaşma) Kardeşlerim, bizi bölmek isteyenlere, böyle bir mezhep kavgasının içine sokmak isteyenlere… Sakın ha, oyuna gelmeyin. Bu bir tuzaktır, ciddi bir tuzaktır. Bu oyuna gelmeyin (Durum Tanımlaması)...”</w:t>
      </w:r>
      <w:r w:rsidRPr="00E97E0B">
        <w:rPr>
          <w:rFonts w:ascii="Times New Roman" w:eastAsia="Calibri" w:hAnsi="Times New Roman" w:cs="Times New Roman"/>
          <w:iCs/>
          <w:sz w:val="24"/>
          <w:szCs w:val="24"/>
          <w:vertAlign w:val="superscript"/>
        </w:rPr>
        <w:footnoteReference w:id="397"/>
      </w:r>
    </w:p>
    <w:p w14:paraId="075841D1" w14:textId="77777777" w:rsidR="002858AE" w:rsidRPr="00E97E0B" w:rsidRDefault="002858AE" w:rsidP="002858AE">
      <w:pPr>
        <w:spacing w:before="120" w:after="120" w:line="24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“…Eğer Alevilik Hz. Ali Keremallahü Veche’yi sevmekse, ben Alevilerden daha çok Aleviyim. Ama bunların yaşamında Hz. Ali var mı? Hz. Ali gibi yaşamak var mı? Yok. Hz. Ali nerede, bunlar nerede…</w:t>
      </w:r>
      <w:r w:rsidRPr="00E97E0B">
        <w:rPr>
          <w:rFonts w:ascii="Times New Roman" w:eastAsia="Calibri" w:hAnsi="Times New Roman" w:cs="Times New Roman"/>
          <w:iCs/>
          <w:sz w:val="24"/>
          <w:szCs w:val="24"/>
          <w:vertAlign w:val="superscript"/>
        </w:rPr>
        <w:footnoteReference w:id="398"/>
      </w:r>
    </w:p>
    <w:p w14:paraId="5FE1B129" w14:textId="77777777" w:rsidR="002858AE" w:rsidRPr="00E97E0B" w:rsidRDefault="002858AE" w:rsidP="002858AE">
      <w:pPr>
        <w:spacing w:before="120" w:after="120" w:line="36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ab/>
        <w:t xml:space="preserve">Yukarıda ele alınan ve aralarında yaklaşık iki yıl olan iki konuşma kesitindeki paralellik hemen göze çarpmaktadır. Bununla birlikte, ifadenin sonunda, Alevileri olduğu gibi değil, kendi perspektifinde olması gerektiği gibi görmek isteyen ve öyle olmadıkları için onları eleştiren bir tavır olduğu görülmektedir. Dahası “onlar” yerine “bunlar” nitelemesi kullanılması konuşmacının, hakkında konuştuğu grubu öteki konumuna yerleştirmekle kalmadığını, onları nesneleştirdiğini göstermektedir. Bir diğer husus, ikinci olarak ele alınan bu örnekte, ilkinden farklı olarak, konuşmacı Alevi kimliğini benimsemenin ötesinde, Alevilerden Alevilik konusunda önde olduğunu söylemiştir. Bu ifadede konuşmacı, o grubu, oldukları şeyi yeterince olamadıkları argümanı üzerinden de ötekileştirmektedir. </w:t>
      </w:r>
    </w:p>
    <w:p w14:paraId="7056619C" w14:textId="77777777" w:rsidR="002858AE" w:rsidRPr="00E97E0B" w:rsidRDefault="002858AE" w:rsidP="002858AE">
      <w:pPr>
        <w:spacing w:before="120" w:after="120" w:line="24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lastRenderedPageBreak/>
        <w:t>“Cemevleri kültürel mekanlardır. İslam’da mescit camidir. Siz hiç Hristiyanlık’ta kilise dışında bir ibadet yeri duydunuz mu? Alevi kardeşlerimiz de bizim gibi Müslüman'dır ve İslam'ın farklı bir yorumunu yapmaktadırlar…"</w:t>
      </w:r>
      <w:r w:rsidRPr="00E97E0B">
        <w:rPr>
          <w:rFonts w:ascii="Times New Roman" w:eastAsia="Calibri" w:hAnsi="Times New Roman" w:cs="Times New Roman"/>
          <w:iCs/>
          <w:sz w:val="24"/>
          <w:szCs w:val="24"/>
          <w:vertAlign w:val="superscript"/>
        </w:rPr>
        <w:footnoteReference w:id="399"/>
      </w:r>
    </w:p>
    <w:p w14:paraId="3CEB9735"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Cemevleri meselesi, Alevilerin önde gelen ve kimliksel tanınma bakımından hem sembolik hem de pratik sonuçları olacak bir gündem maddesidir. Bu bakımdan da kimliksel tanınmayı kabul etmeyen bu söylem, Alevileri hem kardeş olarak tanımlamakta hem de farklı olmasını kabul etmemektedir. Konuşmacı, pederşahi yaklaşımla onların farklı yorumlarının Sünnilik ekseninde değerlendirilmesine müsade etmektedir. Ayrıca, konuşmada verilen örneğin detayı, verilen benzer örnekler açısından da sakıncalıdır; zira Hristiyanlıkta birçok farklı kilise vardır, benzer bir durum Yahudilikte, Hristiyanlıktaki kadar ayrışmamakla birlikte söz konusudur. </w:t>
      </w:r>
    </w:p>
    <w:p w14:paraId="351497B5" w14:textId="77777777" w:rsidR="002858AE" w:rsidRPr="00E97E0B" w:rsidRDefault="002858AE" w:rsidP="002858AE">
      <w:pPr>
        <w:spacing w:before="120" w:after="120" w:line="24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“…Din değil. İslam içinde bir kurum olarak görünüyor. Net bir tanımı yok. (Durum Tanımı, Aktör Tanımı) Biz geçmişte Ali’yi çok sevenler olarak görürdük ama bunların Hz. Ali ile alakaları yok yaşam tarzı olarak. Bizim yaşam tarzımıza uygun olan Türk Alevileri. Öbürleri ise tamamen farklı yerde. Cemevleri ibadethane değil. İslamda tek ibadethane vardır, cami. (Yasallık) Cemevleri kültür evleridir. Alevilerin sorunları Kürtlerden fazladır söylemi de doğru değil. Onların sesleri fazla çıkıyor (Kutuplaştırma)…”</w:t>
      </w:r>
      <w:r w:rsidRPr="00E97E0B">
        <w:rPr>
          <w:rFonts w:ascii="Times New Roman" w:eastAsia="Calibri" w:hAnsi="Times New Roman" w:cs="Times New Roman"/>
          <w:iCs/>
          <w:sz w:val="24"/>
          <w:szCs w:val="24"/>
          <w:vertAlign w:val="superscript"/>
        </w:rPr>
        <w:footnoteReference w:id="400"/>
      </w:r>
    </w:p>
    <w:p w14:paraId="720CD138"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Bu konuşma, Alevi açılımının başlangıcından çok sonra dile getirilmiştir. Önceki konuşmalarla bütünlük arz edecek şekilde, burada Aleviliğin bir din olmadığına yönelik açık bir tanım yapılmaktadır. Netliğin olmadığı yönündeki açıklama ise öteki olarak gördüğü grubun belirgin ölçüde anlaşılır olmadığı anlamını kazandırmıştır. Bu iki yönden siyasetçinin argümanlarını desteklemektedir. İlki bu konuyla ilgili tıpkı AÇNR’nun kaleme alındığı zamanki gibi sorun kolaylıkla sürüncemede bırakılabilecektir, zira sorun tanımlanmadan çözüme yönelik kurumsal bir adım atılması mümkün olmayacaktır. Bu müphemlik, aynı zamanda bölünmüş yapıdaki bir Alevilik algısı ile ötekine yönelik yapılabilecek şeyleri kısıtlayacaktır. Diğer taraftan ise karşı tarafın kendisini tek blok halindeki tanımlamadaki isteksizliği dile getirilerek, bu konuyla ilgili çözüme yönelik karar alma sorumluluğu hafifletilmektedir. Buradaki ötekini net tanımlamamak, söylemsel düzeyde bir egemenlik stratejisi olarak görülebilir. </w:t>
      </w:r>
    </w:p>
    <w:p w14:paraId="70C342B5"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lastRenderedPageBreak/>
        <w:t xml:space="preserve">Buradan yola çıkarak farklılıkları tek bir çatı altında birleşmeyi dayatan ve merkezî idarenin kontrolünü artıran “İslam’da tek ibadethane camidir” şeklindeki söylem, belirsizlikten kuvvet alan bir söylemdir. Konuşmada bahsi geçen, bir çeşit yasallık temasıdır. Öte yandan, buyasa anayasal bir yasa olmamakla birlikte, Sünnilik anlayışı içerisindeki cami tanımına dayanmaktadır. Ancak burada bir mezhebin anlayışı ve terminolojisi ile diğer mezhep tanımlanmaya çalışılmaktadır. </w:t>
      </w:r>
    </w:p>
    <w:p w14:paraId="0DE31337"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Türkiye’de Aleviler ve Kürtler ayrı ayrı toplumsal kimliklere tekabül ediyor olsa da bu iki kimliğin sayısal kesişimi oldukça yaygındır. Türkiye’de yaklaşık 12 ilâ 20 milyon Kürt nüfusu olduğu tahmin edilirken bunun 15 milyon kadarının Sünni olduğu tahmin edilmektedir.</w:t>
      </w:r>
      <w:r w:rsidRPr="00E97E0B">
        <w:rPr>
          <w:rFonts w:ascii="Times New Roman" w:eastAsia="Calibri" w:hAnsi="Times New Roman" w:cs="Times New Roman"/>
          <w:iCs/>
          <w:sz w:val="24"/>
          <w:szCs w:val="24"/>
          <w:vertAlign w:val="superscript"/>
        </w:rPr>
        <w:footnoteReference w:id="401"/>
      </w:r>
      <w:r w:rsidRPr="00E97E0B">
        <w:rPr>
          <w:rFonts w:ascii="Times New Roman" w:eastAsia="Calibri" w:hAnsi="Times New Roman" w:cs="Times New Roman"/>
          <w:iCs/>
          <w:sz w:val="24"/>
          <w:szCs w:val="24"/>
        </w:rPr>
        <w:t xml:space="preserve"> Bu durumda yaklaşık 5 ilâ 7 milyon kadar Alevi Kürt olduğunu varsaymak mümkündür. Bu nedenle, bu iki kimliğin kesişimi ve çoğunluk olan Türk ve Sünnilerle doğrudan bir ötekileşme riskini bertaraf etme amacıyla, bu iki grubu birbirinden ayrı değerlendirmek söylemsel bir stratejidir. Ayrıca, muhafazakâr dindar siyasetin önde gelen ismi Erdoğan ve lideri olduğu AK Parti, söylemsel, siyasi ve kültürel olarak Kürtlerin Sünni olanlarıyla daha kolay ve yakın bir bağ kurabilmektedir. Bu nedenle, ikisinin sorunlarını olumsuzlamaya başvurmak suretiyle dolaylı da olsa karşılaştırmıştır. Kürtlerin daha fazla sorunu olduğunu dolaylı olarak dile getiren Erdoğan, toplam Sünni nüfusa oranla azınlık olmaları, siyaseten dağınık olmaları nedeniyle vesekülerliği ve onu temsil eden CHP’yi çoğunlukla tercih etmeleri nedeniyle, Alevilere daha uzak bir konumda bulunmuştur. Bu açıdan yaptığı kıyaslama, siyasi anlayışı ve konumuyla uyumludur, ancak seslerinin daha fazla çıktığı ifadesi, Türkçede oldukça sert bir çağrışım yapmaktadır. Bu ifade, Alevilerinhak taleplerini, ses çıkarmak ve rahatsızlığa neden olmak olarak tanımlamayı ve bir taraftan da kutuplaştırma öğesini içinde barındıran bir söylemdir. </w:t>
      </w:r>
    </w:p>
    <w:p w14:paraId="5B64E963"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Erdoğan’ın konuşmasında, “bizim yaşam tarzımıza uygun olan Türk Alevileri” demesi, iç gruba dahil olan yaşam tarzını kabul ettiğini söylemesi dikkat çekicidir. Türk Alevileri ve Kürt Alevilerinin -çok küçük bir nüfusa sahip Arap Alevileri hariç- Alevilerin neredeyse tamamını oluşturduğunu bilindiğinden, burada yaşam tarzları meşruiyet sınırlarının dışında telakki edilen Kürt Alevileridir. Burada, hem Alevileri </w:t>
      </w:r>
      <w:r w:rsidRPr="00E97E0B">
        <w:rPr>
          <w:rFonts w:ascii="Times New Roman" w:eastAsia="Calibri" w:hAnsi="Times New Roman" w:cs="Times New Roman"/>
          <w:iCs/>
          <w:sz w:val="24"/>
          <w:szCs w:val="24"/>
        </w:rPr>
        <w:lastRenderedPageBreak/>
        <w:t xml:space="preserve">bölen ve kutuplaştıran hem de Sünnilerin ve Türklerin Aleviliğe bakışı açısından ayrıma neden olabilecek bir ötekileştirme söz konusudur. “Öbürleri ise tamamen farklı bir yerde” şeklinde ifade edilen ve “meşru sayılmayan” Aleviler </w:t>
      </w:r>
      <w:r w:rsidRPr="00E97E0B">
        <w:rPr>
          <w:rFonts w:ascii="Times New Roman" w:eastAsia="Calibri" w:hAnsi="Times New Roman" w:cs="Times New Roman"/>
          <w:i/>
          <w:sz w:val="24"/>
          <w:szCs w:val="24"/>
        </w:rPr>
        <w:t>tamamen</w:t>
      </w:r>
      <w:r w:rsidRPr="00E97E0B">
        <w:rPr>
          <w:rFonts w:ascii="Times New Roman" w:eastAsia="Calibri" w:hAnsi="Times New Roman" w:cs="Times New Roman"/>
          <w:iCs/>
          <w:sz w:val="24"/>
          <w:szCs w:val="24"/>
        </w:rPr>
        <w:t xml:space="preserve"> gibi kesin bir ifade ile iyice ayrıştırılmıştır. Dahası, konuşmacının bakış açısında hiyerarşik bir yakınlık kurgusu olduğu da net bir şekilde görülebilmektedir.</w:t>
      </w:r>
    </w:p>
    <w:p w14:paraId="495A74F3" w14:textId="77777777" w:rsidR="002858AE" w:rsidRPr="00E97E0B" w:rsidRDefault="002858AE" w:rsidP="002858AE">
      <w:pPr>
        <w:spacing w:before="120" w:after="120" w:line="240" w:lineRule="auto"/>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“…Bir Ankaralılaşmak'tan bahsediyorsunuz. Kusura bakmayın siz herhalde başkalarını kastediyorsunuz. (Mesafe Koyma, İma) Ankaralılaşan değil biz bugüne kadar Türkiyelileşmiştik. Gene Türkiyelileşen bir partiyiz. Hiçbir değişiklik yok. (Durum Kavramsallaştırması) Bizim 81 ilden 80'inde milletvekilimiz var. Tunceli'den yok. Onun da nedenlerini biliyorsunuz. (İma) İnşallah bu seçimde Tunceli'den çıkaracağız. Herhalde Tunceli'nin de artık gerçekleri görmesi lazım. Hayatında, tarihinde görmediği hizmetleri bunlar bizden gördü (Mesafe Koyma)”</w:t>
      </w:r>
      <w:r w:rsidRPr="00E97E0B">
        <w:rPr>
          <w:rFonts w:ascii="Times New Roman" w:eastAsia="Calibri" w:hAnsi="Times New Roman" w:cs="Times New Roman"/>
          <w:iCs/>
          <w:sz w:val="24"/>
          <w:szCs w:val="24"/>
          <w:vertAlign w:val="superscript"/>
        </w:rPr>
        <w:footnoteReference w:id="402"/>
      </w:r>
    </w:p>
    <w:p w14:paraId="2E455D07"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t xml:space="preserve">Savunma cümleleriyle başlayan bu kesit, Şerif Mardin’in belirtmiş olduğugeçen merkez-çevre kuramıyla örtüşen bir eleştiriyi yanıtlamaktadır. Burada kasıt, Ak Parti’nin yönetim anlayışının merkez olduğu ve aynı zamanda merkez ve çevrenin ayrıştığı ve Ak Parti’nin çevreden koptuğu ve onunla ilişkisinin çatışmayla tanımlanabileceği eleştirisidir. Bu eleştiri aynı zamanda Ak Parti ve Recep Tayyip Erdoğan’ın iktidara geldiği dönemki söylemlerini boşa düşürmeyi de amaçlamaktadır. Ak Parti çevreyi merkeze taşıma iddiasıyla gelen ve merkez-çevre çatışmasını öneren değil; bilakis çevrenin merkez olması iddiasına sahip bir parti ve liderlik imajı üzerine inşa edilmiştir. </w:t>
      </w:r>
      <w:r w:rsidRPr="00E97E0B">
        <w:rPr>
          <w:rFonts w:ascii="Times New Roman" w:eastAsia="Calibri" w:hAnsi="Times New Roman" w:cs="Times New Roman"/>
          <w:i/>
          <w:sz w:val="24"/>
          <w:szCs w:val="24"/>
        </w:rPr>
        <w:t>Ankaralılaşmak</w:t>
      </w:r>
      <w:r w:rsidRPr="00E97E0B">
        <w:rPr>
          <w:rFonts w:ascii="Times New Roman" w:eastAsia="Calibri" w:hAnsi="Times New Roman" w:cs="Times New Roman"/>
          <w:iCs/>
          <w:sz w:val="24"/>
          <w:szCs w:val="24"/>
        </w:rPr>
        <w:t xml:space="preserve"> merkez iktidar olup çevreden kopmayı ifade etmektedir. Erdoğan bu eleştiriyi hatırlatıp, CHP’yle sıkça özdeşleştirdiği önceki iktidarları kastederek bunun tersi olduklarını söylemektedir. Bunu da </w:t>
      </w:r>
      <w:r w:rsidRPr="00E97E0B">
        <w:rPr>
          <w:rFonts w:ascii="Times New Roman" w:eastAsia="Calibri" w:hAnsi="Times New Roman" w:cs="Times New Roman"/>
          <w:i/>
          <w:sz w:val="24"/>
          <w:szCs w:val="24"/>
        </w:rPr>
        <w:t>Türkiyelileşmek</w:t>
      </w:r>
      <w:r w:rsidRPr="00E97E0B">
        <w:rPr>
          <w:rFonts w:ascii="Times New Roman" w:eastAsia="Calibri" w:hAnsi="Times New Roman" w:cs="Times New Roman"/>
          <w:iCs/>
          <w:sz w:val="24"/>
          <w:szCs w:val="24"/>
        </w:rPr>
        <w:t xml:space="preserve"> kavramsallaştırması ile açıklamaktadır. </w:t>
      </w:r>
      <w:r w:rsidRPr="00E97E0B">
        <w:rPr>
          <w:rFonts w:ascii="Times New Roman" w:eastAsia="Calibri" w:hAnsi="Times New Roman" w:cs="Times New Roman"/>
          <w:i/>
          <w:sz w:val="24"/>
          <w:szCs w:val="24"/>
        </w:rPr>
        <w:t>Türkiyelileşmek</w:t>
      </w:r>
      <w:r w:rsidRPr="00E97E0B">
        <w:rPr>
          <w:rFonts w:ascii="Times New Roman" w:eastAsia="Calibri" w:hAnsi="Times New Roman" w:cs="Times New Roman"/>
          <w:iCs/>
          <w:sz w:val="24"/>
          <w:szCs w:val="24"/>
        </w:rPr>
        <w:t xml:space="preserve"> Erdoğan’ın iddiası olarak Ak Parti politikalarının kendi açısından ortaya koyduğu tanımla örtüşen kavramdır. 2010 Ağustos’unda CHP ve Kılıçdaroğlu’nu eleştirirken Dersim olarak adlandırdığı ile bu konuşmasında Tunceli demesi de dikkat çekicidir. Ayrıca, Dersim’in oy vermediğini vurgularken ima yoluyla mezhebî farka işaret etmesi ve “bunlar bizden gördü” şeklindeki yaklaşımı da öteki konumunu önceki konuşmalarıyla da bir arada düşündüğümüzde iyice güçlendirmektedir. </w:t>
      </w:r>
    </w:p>
    <w:p w14:paraId="360EABB6" w14:textId="77777777" w:rsidR="002858AE" w:rsidRPr="00E97E0B" w:rsidRDefault="002858AE" w:rsidP="002858AE">
      <w:pPr>
        <w:spacing w:before="120" w:after="120" w:line="360" w:lineRule="auto"/>
        <w:ind w:firstLine="720"/>
        <w:jc w:val="both"/>
        <w:rPr>
          <w:rFonts w:ascii="Times New Roman" w:eastAsia="Calibri" w:hAnsi="Times New Roman" w:cs="Times New Roman"/>
          <w:iCs/>
          <w:sz w:val="24"/>
          <w:szCs w:val="24"/>
        </w:rPr>
      </w:pPr>
      <w:r w:rsidRPr="00E97E0B">
        <w:rPr>
          <w:rFonts w:ascii="Times New Roman" w:eastAsia="Calibri" w:hAnsi="Times New Roman" w:cs="Times New Roman"/>
          <w:iCs/>
          <w:sz w:val="24"/>
          <w:szCs w:val="24"/>
        </w:rPr>
        <w:lastRenderedPageBreak/>
        <w:t>Aleviler, Ak Parti ve Erdoğan hükümetlerinin döneminde açılımla kısmen kendilerine sembolik adımlar atılsa da söylemde Erdoğan’ın çoğu zaman dışsal bir grup olarak tanımladığı öteki pozisyonunu korumuştur. Öyle ki toplumsal kimlikler arasında Türkiye’de Erdoğan’ın söylemleri açısından en fazla dışsallaştırılmış grup olduğunu söylemek mümkündür. Bununla birlikte, Alevilik, yine görece iç grup içinde çok daha fazla anılan Kürt kimliğiyle birleştiği haliyle en dış grup olarak tanımlanabilir.</w:t>
      </w:r>
    </w:p>
    <w:p w14:paraId="6BDE3A9C" w14:textId="1B42D971" w:rsidR="002858AE" w:rsidRPr="00E97E0B" w:rsidRDefault="002858AE" w:rsidP="002B7FA9">
      <w:pPr>
        <w:pStyle w:val="Heading3"/>
      </w:pPr>
      <w:bookmarkStart w:id="235" w:name="_Toc141133117"/>
      <w:r w:rsidRPr="00E97E0B">
        <w:t>5.2.</w:t>
      </w:r>
      <w:r w:rsidR="001C27B5" w:rsidRPr="00E97E0B">
        <w:t>3</w:t>
      </w:r>
      <w:r w:rsidRPr="00E97E0B">
        <w:t>. Ermeniler</w:t>
      </w:r>
      <w:bookmarkEnd w:id="235"/>
      <w:r w:rsidRPr="00E97E0B">
        <w:t xml:space="preserve"> </w:t>
      </w:r>
    </w:p>
    <w:p w14:paraId="477B562D" w14:textId="77777777" w:rsidR="002858AE" w:rsidRPr="00E97E0B" w:rsidRDefault="002858AE" w:rsidP="002858AE">
      <w:pPr>
        <w:spacing w:before="120" w:after="120" w:line="36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t>Ermeniler, Türkiye Cumhuriyeti’nin Lozan Anlaşması ile azınlık statüsünde tanımlanmış vatandaşları olarak mevcut en büyük nüfuslu yerli gayrimüslim topluluğudur. Türkiye Ermenileri olarak da tanımlanabilecek bu cemaat, yaklaşık 70.000 nüfusludur. Çoğunluğu Ermeni Apostolik Kilisesi, Ermeni Katolik Kilisesi ve Ermeni Ortodoks Kiliselerine bağlıdır.</w:t>
      </w:r>
      <w:r w:rsidRPr="00E97E0B">
        <w:rPr>
          <w:rFonts w:ascii="Times New Roman" w:eastAsia="Calibri" w:hAnsi="Times New Roman" w:cs="Times New Roman"/>
          <w:sz w:val="24"/>
          <w:szCs w:val="24"/>
          <w:vertAlign w:val="superscript"/>
        </w:rPr>
        <w:footnoteReference w:id="403"/>
      </w:r>
      <w:r w:rsidRPr="00E97E0B">
        <w:rPr>
          <w:rFonts w:ascii="Times New Roman" w:eastAsia="Calibri" w:hAnsi="Times New Roman" w:cs="Times New Roman"/>
          <w:sz w:val="24"/>
          <w:szCs w:val="24"/>
        </w:rPr>
        <w:t xml:space="preserve"> Türk-Ermeni ilişkileri, bilhassa Ermenistan ve Ermeni diyasporaları ile Türkiye’nin ilişkileri, 1915’te Birinci Dünya Savaşı şartlarında yaşanan karşılıklı çatışmaları içeren olayların gölgesinde kaldığından, sürekli bir kısıtlılık içindedir. Bir taraftan diyaspora ve Ermenistan, bu hadiseleri Ermeni Soykırımı olarak tanımlamak ve bu tanımı dayatmak isterken, Türkiye, yıllardır bunu kabul etmeyerek meselenin çok boyutlu olduğuna söylemlerinde vurgu yapmıştır. Mesele çok boyutlu olup, tüm boyutları ele alınmaksızın ve siyasi tartışmaların gölgesinden iyice uzaklaşmadan sağlıklı bir sonuca varılamayacağı söylenebilir. Mesele, </w:t>
      </w:r>
      <w:r w:rsidRPr="00E97E0B">
        <w:rPr>
          <w:rFonts w:ascii="Times" w:eastAsia="Calibri" w:hAnsi="Times" w:cs="Times New Roman"/>
          <w:sz w:val="24"/>
          <w:szCs w:val="24"/>
        </w:rPr>
        <w:t>hâlen</w:t>
      </w:r>
      <w:r w:rsidRPr="00E97E0B">
        <w:rPr>
          <w:rFonts w:ascii="Times New Roman" w:eastAsia="Calibri" w:hAnsi="Times New Roman" w:cs="Times New Roman"/>
          <w:sz w:val="24"/>
          <w:szCs w:val="24"/>
        </w:rPr>
        <w:t xml:space="preserve"> devletler arası bir siyasi çıkar ve prestij meselesi olduğu sürece bu soğukkanlı bakışın sağlanması zor görünmektedir. Öte yandan detaylarına ulaşmanın oldukça zor olduğu bir konu olması nedeniyle çok boyutlu olarak kavranması güç bir konudur.</w:t>
      </w:r>
      <w:r w:rsidRPr="00E97E0B">
        <w:rPr>
          <w:rFonts w:ascii="Times New Roman" w:eastAsia="Calibri" w:hAnsi="Times New Roman" w:cs="Times New Roman"/>
          <w:sz w:val="24"/>
          <w:szCs w:val="24"/>
          <w:vertAlign w:val="superscript"/>
        </w:rPr>
        <w:footnoteReference w:id="404"/>
      </w:r>
      <w:r w:rsidRPr="00E97E0B">
        <w:rPr>
          <w:rFonts w:ascii="Times New Roman" w:eastAsia="Calibri" w:hAnsi="Times New Roman" w:cs="Times New Roman"/>
          <w:sz w:val="24"/>
          <w:szCs w:val="24"/>
        </w:rPr>
        <w:t xml:space="preserve"> </w:t>
      </w:r>
    </w:p>
    <w:p w14:paraId="61A5DE94" w14:textId="77777777" w:rsidR="002858AE" w:rsidRPr="00E97E0B" w:rsidRDefault="002858AE" w:rsidP="002858AE">
      <w:pPr>
        <w:spacing w:before="120" w:after="120" w:line="36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t xml:space="preserve">Ermeniler, Türkiye’de 1960’lı yıllara kadar nüfustaki oranlarına göre siyasete katılıyorlardı. Sonraları, nüfuslarının azlığına terör meselesinin kamuoyunda azınlıkların siyasete katılımını sınırlayan ortamı eklenince, Ermenilerin siyaset yapma imkanları belirgin bir şekilde kısıtlı hâle gelmiştir. 1980 ve sonrasında “Ermeni </w:t>
      </w:r>
      <w:r w:rsidRPr="00E97E0B">
        <w:rPr>
          <w:rFonts w:ascii="Times New Roman" w:eastAsia="Calibri" w:hAnsi="Times New Roman" w:cs="Times New Roman"/>
          <w:sz w:val="24"/>
          <w:szCs w:val="24"/>
        </w:rPr>
        <w:lastRenderedPageBreak/>
        <w:t>soykırımı” kavramının uluslararası ortamda kabul görmeye ve Türkiye’ye karşı bir baskı unsuru olarak kullanılmaya başlamasıyla devam eden süreç, Ermenilerle ilişkilerin normalleşmesini önlemeye devam etmiştir. Ermenistan’ın Dağlık Karabağ meselesinde ortaya koyduğu tavır ve Hocalı Katliamı gibi meseleler de ilişkilerin normalleşmesinin önüne yeniden engel olarak çıkmıştır.</w:t>
      </w:r>
      <w:r w:rsidRPr="00E97E0B">
        <w:rPr>
          <w:rFonts w:ascii="Times New Roman" w:eastAsia="Calibri" w:hAnsi="Times New Roman" w:cs="Times New Roman"/>
          <w:sz w:val="24"/>
          <w:szCs w:val="24"/>
          <w:vertAlign w:val="superscript"/>
        </w:rPr>
        <w:footnoteReference w:id="405"/>
      </w:r>
      <w:r w:rsidRPr="00E97E0B">
        <w:rPr>
          <w:rFonts w:ascii="Times New Roman" w:eastAsia="Calibri" w:hAnsi="Times New Roman" w:cs="Times New Roman"/>
          <w:sz w:val="24"/>
          <w:szCs w:val="24"/>
        </w:rPr>
        <w:t xml:space="preserve"> Ermenistan’ın bugün hala Azerbaycan’la sınır sorunu vardır ve iki ülke yakın zamanda sınır meseleleri nedeniyle savaşmıştır. Bundan dolayı, Azerbaycan’la tarihi kültürel ve siyasi bağları son derece derin olan ve sürekli ittifak ve dostluk içinde olmak konusunda istikrarlı devlet politikasını sürdüren Türkiye’nin, Ermenistan’la ilişkilerinin normalleşememesi beklenir bir durumdur. </w:t>
      </w:r>
    </w:p>
    <w:p w14:paraId="3358B2A0" w14:textId="77777777" w:rsidR="002858AE" w:rsidRPr="00E97E0B" w:rsidRDefault="002858AE" w:rsidP="002858AE">
      <w:pPr>
        <w:spacing w:before="120" w:after="120" w:line="36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t>Mesele genel olarak Ermeni diasporası ve Ermenistan’la ilgili olmasa da mevcut ilişkilerin bozuk olması elbette dolaylı olarak Türkiye’nin Ermeni vatandaşlara bakışı da etkilenmiştir. 2007’de Ermeni asıllı gazeteci Hrant Dink’in öldürülmesi ile Türkiye Ermenileri üzerinde baskının ve güvenlik kaygılarının arttığı da sabittir. Ak Parti döneminde AB Uyum Süreci nedeniyle azınlık haklarıyla ilgili reformlar ilkbaşta yavaş ilerlese de, bazı adımlar atılmıştır, ancak özellikle Dink cinayetinin ardından süreç daha da sekteye uğramıştır. Türkiye’deki Ermenilerin azınlık olarak eğitim vakıf mülkiyetleriyle ilgili meseleler ve Ermeni Soykırımı’nın tanınmasına dair pek çok talepleri ve güvenlik kaygıları bulunsa da, bunların çok azının karşılanabileceğini düşünmek daha makul olur.</w:t>
      </w:r>
      <w:r w:rsidRPr="00E97E0B">
        <w:rPr>
          <w:rFonts w:ascii="Times New Roman" w:eastAsia="Calibri" w:hAnsi="Times New Roman" w:cs="Times New Roman"/>
          <w:sz w:val="24"/>
          <w:szCs w:val="24"/>
          <w:vertAlign w:val="superscript"/>
        </w:rPr>
        <w:footnoteReference w:id="406"/>
      </w:r>
      <w:r w:rsidRPr="00E97E0B">
        <w:rPr>
          <w:rFonts w:ascii="Times New Roman" w:eastAsia="Calibri" w:hAnsi="Times New Roman" w:cs="Times New Roman"/>
          <w:sz w:val="24"/>
          <w:szCs w:val="24"/>
        </w:rPr>
        <w:t xml:space="preserve"> Ak Parti’nin Türkiye Ermenilerine özellikle ilk yıllarında göreceli bir rahatlama sunmasına rağmen, Türkiye’deki ele alınan üç azınlığın durumunun, sıklıkla o azınlıklarla ortak etnik kökenden ulus devletlerle ilişkisi kaçınılmaz olarak devletin, o azınlıklarla olan ilişkilerini de etkilemektedir. Zira söz konusu azınlık grupların nüfusları ve etkinlikleri, ulus devlet ölçeğine göre son derece sınırlı olup, Türkiye’nin bu üç azınlık grubun tarihsel ve kökensel bağlarının olduğu ülkelerle ilişkilerine de bağlıdır.</w:t>
      </w:r>
    </w:p>
    <w:p w14:paraId="6CC97C50" w14:textId="77777777" w:rsidR="002858AE" w:rsidRPr="00E97E0B" w:rsidRDefault="002858AE" w:rsidP="002858AE">
      <w:pPr>
        <w:spacing w:before="120" w:after="120" w:line="36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t xml:space="preserve">Erdoğan’ın Türkiye Ermeni cemaatiyle ilgili iç veya dış grup konumu tanımlayan bir sözüne 2007-2012 dönemleri arasında çok az rastlandığını söylenebilir. Bununla birlikte, Erdoğan’ın Ermeni cemaati temsilcisi Bedros Şirinoğlu ile vakıf </w:t>
      </w:r>
      <w:r w:rsidRPr="00E97E0B">
        <w:rPr>
          <w:rFonts w:ascii="Times New Roman" w:eastAsia="Calibri" w:hAnsi="Times New Roman" w:cs="Times New Roman"/>
          <w:sz w:val="24"/>
          <w:szCs w:val="24"/>
        </w:rPr>
        <w:lastRenderedPageBreak/>
        <w:t xml:space="preserve">malları ile ilgili talep ve teşekkürleri dinlerken yapmış olduğu görüşmede, Ermeniler için Osmanlı Devleti döneminde kendilerine </w:t>
      </w:r>
      <w:r w:rsidRPr="00E97E0B">
        <w:rPr>
          <w:rFonts w:ascii="Times New Roman" w:eastAsia="Calibri" w:hAnsi="Times New Roman" w:cs="Times New Roman"/>
          <w:i/>
          <w:iCs/>
          <w:sz w:val="24"/>
          <w:szCs w:val="24"/>
        </w:rPr>
        <w:t>millet-i sadıka</w:t>
      </w:r>
      <w:r w:rsidRPr="00E97E0B">
        <w:rPr>
          <w:rFonts w:ascii="Times New Roman" w:eastAsia="Calibri" w:hAnsi="Times New Roman" w:cs="Times New Roman"/>
          <w:sz w:val="24"/>
          <w:szCs w:val="24"/>
        </w:rPr>
        <w:t xml:space="preserve"> dendiğini hatırlatması, bir istisna olabilir. Millet-i sadıka, Ermeni toplumuna dair kullandığı tanımlayıcı kavramlardan biridir. Bu tanımlamaolumlu bir hatırlatmadır. Bunun dışında, Erdoğan’ın uluslararası alanda sürekli gündeme taşınan “Ermeni soykırımı” iddialarına karşı meselenin tarihçilere bırakılması gerektiği ve soykırım ifadesini tanımama tutumu devam etmiştir. Ermenilerin Türklerle yüzyıllardır birlikte yaşamış olması ve kardeş oldukları da yer yer dile getirilmiştir. Bununla beraber, konuşmalardan anlaşıldığı üzere, pek çok açılımın yapıldığı ve Ermenistan’la ikili ilişkilere açık bir tutum takınıldığı söylenebilir. Ayrıca, Ermenistan’la ve Ermenistan vatandaşlarıyla ilgili siyaseti bir dış mesele olduğundan, konu kapsamı dışında kalması nedeniyle bu çalışmaya dahil edilmemiştir. </w:t>
      </w:r>
    </w:p>
    <w:p w14:paraId="08B30140" w14:textId="77777777" w:rsidR="002858AE" w:rsidRPr="00E97E0B" w:rsidRDefault="002858AE" w:rsidP="002858AE">
      <w:pPr>
        <w:spacing w:before="120" w:after="120" w:line="36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t xml:space="preserve">Genel duruma ek olarak, aşağıdaki ifadede, öteki konumlandırması anlamına gelebilecek ve Türk siyasal hayatında en fazla gündemde olan üç gayrimüslim azınlığı da dış bir gruba yerleştirecek bir mülakatında sarf ettiği sözler istisna kabul edilebilir. </w:t>
      </w:r>
    </w:p>
    <w:p w14:paraId="5643B536"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“…Bize köşelerinden istediği gibi saldıran istediği gibi hakaret eden yazılı ve görsel medya var. Benimle ve Cumhurbaşkanımızla ilgili çok sayıda kitap var. Bu kitapların içinde ne Yahudiliğimiz, ne Ermeniliğimiz, ne af edersiniz Rumluğumuz hiçbir şey kalmadı ya, ne yapacaksınız, yapacak tek şey yargı var. Özgürlük adına bunlar mı yapılır? Özgürlüğün sınırı bir başka insanın özgürlük alanına kadardır…</w:t>
      </w:r>
      <w:r w:rsidRPr="00E97E0B">
        <w:rPr>
          <w:rFonts w:ascii="Times New Roman" w:eastAsia="Calibri" w:hAnsi="Times New Roman" w:cs="Times New Roman"/>
          <w:sz w:val="24"/>
          <w:szCs w:val="24"/>
          <w:vertAlign w:val="superscript"/>
        </w:rPr>
        <w:footnoteReference w:id="407"/>
      </w:r>
    </w:p>
    <w:p w14:paraId="7E8BC4F6" w14:textId="0479DE05" w:rsidR="002858AE" w:rsidRPr="00E97E0B" w:rsidRDefault="002858AE" w:rsidP="002B7FA9">
      <w:pPr>
        <w:pStyle w:val="Heading3"/>
      </w:pPr>
      <w:bookmarkStart w:id="240" w:name="_Toc141133118"/>
      <w:r w:rsidRPr="00E97E0B">
        <w:t>5.2.4. Yahudiler</w:t>
      </w:r>
      <w:bookmarkEnd w:id="240"/>
      <w:r w:rsidRPr="00E97E0B">
        <w:t xml:space="preserve"> </w:t>
      </w:r>
    </w:p>
    <w:p w14:paraId="5310043B" w14:textId="77777777" w:rsidR="002858AE" w:rsidRPr="00E97E0B" w:rsidRDefault="002858AE" w:rsidP="002858AE">
      <w:pPr>
        <w:spacing w:before="120" w:after="120" w:line="360" w:lineRule="auto"/>
        <w:ind w:firstLine="720"/>
        <w:jc w:val="both"/>
        <w:rPr>
          <w:rFonts w:ascii="Times New Roman" w:eastAsia="Calibri" w:hAnsi="Times New Roman" w:cs="Times New Roman"/>
          <w:b/>
          <w:sz w:val="24"/>
          <w:szCs w:val="24"/>
        </w:rPr>
      </w:pPr>
      <w:bookmarkStart w:id="241" w:name="_Toc119243128"/>
      <w:r w:rsidRPr="00E97E0B">
        <w:rPr>
          <w:rFonts w:ascii="Times New Roman" w:eastAsia="Calibri" w:hAnsi="Times New Roman" w:cs="Times New Roman"/>
          <w:sz w:val="24"/>
          <w:szCs w:val="24"/>
        </w:rPr>
        <w:t>Yahudiler de Osmanlı Devleti dönemlerinden beri Türkiye’nin önde gelen azınlık gruplarından birini teşkil etmektedirler. Bununla birlikte, zaman içinde nüfusları epeyce azalmıştır ve Türkiye’de yaklaşık 20.000 bir nüfusları vardır. Çoğunluğu 14. 15. ve 16. yüzyılda Avrupa’dan Osmanlı Devleti’nin hüküm sürdüğü topraklara göç ederek yerleşmiş olsa da 2. Dünya Savaşı’da Nazi zulmünden kaçarak Türkiye’ye giren Yahudiler de olmuştur.</w:t>
      </w:r>
      <w:r w:rsidRPr="00E97E0B">
        <w:rPr>
          <w:rFonts w:ascii="Times New Roman" w:eastAsia="Calibri" w:hAnsi="Times New Roman" w:cs="Times New Roman"/>
          <w:bCs/>
          <w:sz w:val="24"/>
          <w:szCs w:val="24"/>
          <w:vertAlign w:val="superscript"/>
        </w:rPr>
        <w:footnoteReference w:id="408"/>
      </w:r>
      <w:r w:rsidRPr="00E97E0B">
        <w:rPr>
          <w:rFonts w:ascii="Times New Roman" w:eastAsia="Calibri" w:hAnsi="Times New Roman" w:cs="Times New Roman"/>
          <w:sz w:val="24"/>
          <w:szCs w:val="24"/>
        </w:rPr>
        <w:t xml:space="preserve"> Diğer tüm azınlıklar gibi, Varlık Vergisi ve 6-7 Eylül Olayları sonucunda oluşan güvenlik endişeleri ayrıca da İsrail’in kurulması gibi nedenlerle hem nüfusları oldukça azalmış bir toplumdur.</w:t>
      </w:r>
      <w:bookmarkEnd w:id="241"/>
      <w:r w:rsidRPr="00E97E0B">
        <w:rPr>
          <w:rFonts w:ascii="Times New Roman" w:eastAsia="Calibri" w:hAnsi="Times New Roman" w:cs="Times New Roman"/>
          <w:sz w:val="24"/>
          <w:szCs w:val="24"/>
        </w:rPr>
        <w:t xml:space="preserve"> </w:t>
      </w:r>
    </w:p>
    <w:p w14:paraId="287F36CF"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 xml:space="preserve">Ak Parti ve Erdoğan döneminde, Yahudi cemaatini ötekileştiren sözüne bu dönem içerisinde rastlanmamıştır. Buna mukabil istisna olacak bir sözü Ermeniler ve Rumların da dahil olduğu biraz önce Ermeni toplumuyla ilgili başlıkta yer alan alıntıdır. </w:t>
      </w:r>
    </w:p>
    <w:p w14:paraId="336661D7"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 “…Benim liderliğimde Türkiye'deki Yahudi topluluğu güvence altındadır, korumam altındadır. Biz onları kardeşimiz olarak görüyoruz (Kardeşlik, Durum Tanımı)… … Bizim İsrail halkıyla hiçbir sorunumuz yok. Sorunumuz İsrail Hükümeti'nin saldırgan tavırlarına karşıdır (Durum Tanımı)”</w:t>
      </w:r>
      <w:r w:rsidRPr="00E97E0B">
        <w:rPr>
          <w:rFonts w:ascii="Times New Roman" w:eastAsia="Calibri" w:hAnsi="Times New Roman" w:cs="Times New Roman"/>
          <w:sz w:val="24"/>
          <w:szCs w:val="24"/>
          <w:vertAlign w:val="superscript"/>
        </w:rPr>
        <w:footnoteReference w:id="409"/>
      </w:r>
      <w:r w:rsidRPr="00E97E0B">
        <w:rPr>
          <w:rFonts w:ascii="Times New Roman" w:eastAsia="Calibri" w:hAnsi="Times New Roman" w:cs="Times New Roman"/>
          <w:sz w:val="24"/>
          <w:szCs w:val="24"/>
        </w:rPr>
        <w:t xml:space="preserve"> </w:t>
      </w:r>
    </w:p>
    <w:p w14:paraId="79C4493F"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 ifadede, Yahudi toplumunu kardeş olarak tanımlayan Erdoğan, İsrail ile olan sorunları kendi vatandaşı olan Yahudilere yansıtmama tavrını koyduğu söylenebilir. Esasında bu durum, söylem düzeyinde Ermeni ve Rum azınlıklara olan yaklaşımı da büyük oranda açıklar niteliktedir. Her ne kadar Yahudi toplumunun İsrail ile, Ermenilerin, Ermenistan ve diyasporası ile Rumların da Yunanistan ile tarihsel ve kökensel bağları olsa da Erdoğan, söyleminde çoğunlukla bu ülkelerle ilgili sorunları, azınlık statüsündeki Türk vatandaşlara karşı bir tavırla tercüme etmemiştir.</w:t>
      </w:r>
    </w:p>
    <w:p w14:paraId="7A3AF569" w14:textId="0C406852" w:rsidR="002858AE" w:rsidRPr="00E97E0B" w:rsidRDefault="002858AE" w:rsidP="002B7FA9">
      <w:pPr>
        <w:pStyle w:val="Heading3"/>
      </w:pPr>
      <w:bookmarkStart w:id="243" w:name="_Toc141133119"/>
      <w:r w:rsidRPr="00E97E0B">
        <w:t>5.2.5. Rumlar</w:t>
      </w:r>
      <w:bookmarkEnd w:id="243"/>
      <w:r w:rsidRPr="00E97E0B">
        <w:t xml:space="preserve"> </w:t>
      </w:r>
    </w:p>
    <w:p w14:paraId="42E5C357"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Rum etnik toplumu, nüfusça oldukça az olsa da sembolik önemi büyük bir azınlık gruptur. Ulus devletlere geçiş sürecinde evvelden bir arada yaşamış olan Türk ve Yunan halklarının arasında coğrafi bir sınır oluşmuştur. Mübadeleler, Varlık Vergisi ve 6-7 Eylül Olayları’na ek olarak, 1964’teki sınır dışı edilme uygulamasından sonra Anadolu’daki Rumların çoğunluğunun ülke topraklarını terk etmiştir. Sonrasında, küçük bir nüfus Anadolu’da yaşamaya devam etmiştir. Rumlar, istisnai olarak Türkiye sınırları içerisinde kalanları ifade etmektedir. Rum kökenli vatandaşların nüfusunun günümüzde yaklaşık 3000 olduğu tahmin edilmektedir.</w:t>
      </w:r>
      <w:r w:rsidRPr="00E97E0B">
        <w:rPr>
          <w:rFonts w:ascii="Times New Roman" w:eastAsia="Calibri" w:hAnsi="Times New Roman" w:cs="Times New Roman"/>
          <w:sz w:val="24"/>
          <w:szCs w:val="24"/>
          <w:vertAlign w:val="superscript"/>
        </w:rPr>
        <w:footnoteReference w:id="410"/>
      </w:r>
      <w:r w:rsidRPr="00E97E0B">
        <w:rPr>
          <w:rFonts w:ascii="Times New Roman" w:eastAsia="Calibri" w:hAnsi="Times New Roman" w:cs="Times New Roman"/>
          <w:sz w:val="24"/>
          <w:szCs w:val="24"/>
        </w:rPr>
        <w:t xml:space="preserve"> Anadolu’da yaşayan Rumlarla Yunanlıların aynı ana dili konuşmalarından ve Ortodoks olmalarından ötürü tarihsel ve kültürel olarak güçlü bağları mevcuttur. </w:t>
      </w:r>
    </w:p>
    <w:p w14:paraId="0383C6BD"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Ak Parti ve lideri Erdoğan, Yunanistan’la ve Kıbrıs Rum Yönetimi ile AB Uyum Süreci kapsamında çözüme gitmek için pek çok çalışma yapmıştır. Bu doğrultuda, Annan Planı’nı desteklemiş, ancak referandumda planın uygulanmasına </w:t>
      </w:r>
      <w:r w:rsidRPr="00E97E0B">
        <w:rPr>
          <w:rFonts w:ascii="Times New Roman" w:eastAsia="Calibri" w:hAnsi="Times New Roman" w:cs="Times New Roman"/>
          <w:sz w:val="24"/>
          <w:szCs w:val="24"/>
        </w:rPr>
        <w:lastRenderedPageBreak/>
        <w:t>yönelik olumlu netice alınamadığından süreç ilerlememiştir. Bütün bu süreçte ve incelenen dönemde, Erdoğan’ın öteki konumlandırması açısından Rumlara yönelik kayda değer bir dış gruba dahil etme durumu yalnızca kendisine yöneltilen farklı etnik kökenden olma iddiasına yanıt verirken söylediği “affedersiniz” sözü ile sınırlıdır, denilebilir. Bu ifadeye karşın, hem vakıf mülkleriyle ilgili reformlar ve genel olarak tüm azınlıkları vatandaş olarak görme söyleminde bir değişme olmamıştır.</w:t>
      </w:r>
    </w:p>
    <w:p w14:paraId="716BE3E0"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“…Bunlar son derece çirkin oyunlardır. Bizim, bu ülkede azınlıklara karşı tavrımız net olduğu kadar, o azınlıkların tarihimizde zaman zaman uğradıkları haksızlıkları da cesaretle dile getiren ilk Başbakan olduğumu burada hatırlatmak isterim. (Övünç) 6-7 Eylül olaylarının son derece vahim bir hata ve çirkin bir provokasyon olduğunu, o olaylar sonrasında ülkelerini terk edenlere haksızlık yapıldığını ben söyledim (Övünç)... </w:t>
      </w:r>
      <w:r w:rsidRPr="00E97E0B">
        <w:rPr>
          <w:rFonts w:ascii="Times New Roman" w:eastAsia="Calibri" w:hAnsi="Times New Roman" w:cs="Times New Roman"/>
          <w:sz w:val="24"/>
          <w:szCs w:val="24"/>
          <w:vertAlign w:val="superscript"/>
        </w:rPr>
        <w:footnoteReference w:id="411"/>
      </w:r>
      <w:r w:rsidRPr="00E97E0B">
        <w:rPr>
          <w:rFonts w:ascii="Times New Roman" w:eastAsia="Calibri" w:hAnsi="Times New Roman" w:cs="Times New Roman"/>
          <w:sz w:val="24"/>
          <w:szCs w:val="24"/>
        </w:rPr>
        <w:t xml:space="preserve">  </w:t>
      </w:r>
    </w:p>
    <w:p w14:paraId="5311F073"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Burada Rumlar hedef alınarak tüm azınlıklara yapılan ve 6-7 Eylül Olayları olarak bilinen sistematik saldırılar haksızlık olarak nitelendirilmekte ve kınanmaktadır. Erdoğan bu sözlerinde azınlıklara yapılan kötü muammelelere karşı başbakan olarak tepki gösterdiğini ve bu konuda bir ilk olduğunu dile getirmiştir. Bu ifade, bir lider olarak Rumlarla ve azınlıklarla bağ kurma stratejisi olarak değerlendirilebilir. İncelenen süreç içinde, Rumlarla ilgili en fazla içeriğin Atina’daki toplantı açılışında yapılması, Rumlarla Yunanistan’ın bağlarını ve ilişkisini de yansıtmaktadır. Öte yandan, konuşmada, “ben söyledim” ve “ilkim” gibi ifadeler, hitabın Rumlara yönelik olmasına rağmen hatırlatmanın daha çok Atina Yönetimi’ne bir mesaj olduğunu da düşündürmektedir. Bu mesaja ek olarak, azınlıklar konusunda gerçekten dikkate değer atılımlar gerçekleştirmiş bir hükümetin hem konuyla ilgili azınlıklardan fazlaca bir oy beklentisi olmamasıyla, hem de bunu ülke içinde fazlaca dile getirmenin milliyetçi kesimlerin tepkisine yol açabileceği endişesiyle dile getirilmemiş olduğu düşünülebilir. Bununla birlikte Rum nüfusunun azlığından ötürü ülke gündemine dair herhangi bir belirleyici etkisinin olmayacak olması ve Yunanistan’la yaşanan herhangi bir soruna etki edecek bir risk teşkil etmiyor olması, Rumlara yönelik olumlu yaklaşımı kolaylaştırmıştır diyebiliriz. </w:t>
      </w:r>
    </w:p>
    <w:p w14:paraId="72425127"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"…Şu anda Dışişleri Bakanlığı tespitlerine göre 50 bin kadar Türkiye Cumhuriyeti vatandaşı olup Türkiye dışında yaşayan Rumlar'ın olduğunu biliyoruz. Bizim bu noktada Türkiye Cumhuriyeti vatandaşı olup da Türkiye dışında yaşayanlara karşı </w:t>
      </w:r>
      <w:r w:rsidRPr="00E97E0B">
        <w:rPr>
          <w:rFonts w:ascii="Times New Roman" w:eastAsia="Calibri" w:hAnsi="Times New Roman" w:cs="Times New Roman"/>
          <w:sz w:val="24"/>
          <w:szCs w:val="24"/>
        </w:rPr>
        <w:lastRenderedPageBreak/>
        <w:t>mesajımız olumludur. Gelip Türkiye'de yaşayabilirler. Çünkü zaten Türkiye'nin vatandaşıdırlar. Bizim bu noktada herhangi bir sıkıntımız söz konusu değildir. Biliyorsunuz Türkiye çok kültürlü bir ülke. (Ulusal Övünç) Buradan bir sıkıntımız yok. Bu konuda rahatız… …'Ekümenik olarak tanıyor musunuz?' sorusuna gelince, beni rahatsız etmez. Ecdadımı rahatsız etmediğine göre beni de rahatsız etmez. (Ders Olarak Tarih) Ama benim ülkemde bazılarını rahatsız edebilir (İma)…”</w:t>
      </w:r>
      <w:r w:rsidRPr="00E97E0B">
        <w:rPr>
          <w:rFonts w:ascii="Times New Roman" w:eastAsia="Calibri" w:hAnsi="Times New Roman" w:cs="Times New Roman"/>
          <w:sz w:val="24"/>
          <w:szCs w:val="24"/>
          <w:vertAlign w:val="superscript"/>
        </w:rPr>
        <w:t xml:space="preserve"> </w:t>
      </w:r>
      <w:r w:rsidRPr="00E97E0B">
        <w:rPr>
          <w:rFonts w:ascii="Times New Roman" w:eastAsia="Calibri" w:hAnsi="Times New Roman" w:cs="Times New Roman"/>
          <w:sz w:val="24"/>
          <w:szCs w:val="24"/>
          <w:vertAlign w:val="superscript"/>
        </w:rPr>
        <w:footnoteReference w:id="412"/>
      </w:r>
    </w:p>
    <w:p w14:paraId="75303C27"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Yukarıda verilen mesaj, Rumlar hakkında, Erdoğan’ın sıklıkla referans olarak gördüğü İmparatorluk dönemine olumlu bir gönderme içermektedir. Bu gönderme, hem muhatap taraf üzerinde psikolojik bir güç göstergesi hem de üzerinde konuşulan Rumlara karşı olumlu ve açık bir tavır olarak nitelendirilebilir. Ülkenin çok kültürlü niteliğine vurgu yapılarak ülke övülmüş, diğer taraftan da Ekümenik tanımına dolaylı bir kabul etmeme mesajı verilmiştir. Hükümet olarak ekümenik iddiasını tanımamakla birlikte, ara bir yol bularak kendilerini böyle tanımlamalarına itiraz etmeyeceklerinin de mesajını vererek, Rumlara dış ilişkilere de kısmen bağlı bir şekilde bu konuda serbestiyet tanınmıştır. Son olarak başvurulan ima ise hükümetin başı olmakla, ülkede bu meselelerle ilgili farklı düşünenlerin de olduğunu hatırlatarak karşı tarafa bir uyarı verilmiştir. Bu uyarı, bir taraftan meseleyle ilgili olarak muhtemel ve müstakbel taleplerin ölçülü olması konusunda bir uyarı, diğer taraftan da kendi yönetiminin de alternatifleri olduğu imasıyla desteklerini sürdürmeleri gerektiğine yönelik bir mesaj olarak yorumlanabilir.</w:t>
      </w:r>
    </w:p>
    <w:p w14:paraId="56808F17"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Erdoğan’ın azınlıklarla ilgili söylemleri genel olarak olumlu olmakla birlikte, ülkedeki azınlıklar, komşu ve yakın coğrafyadaki etnik ve dini çoğunluk olduğu ülkelerle ilişkilerinden etkilenebilmektedir. Bu noktada, başbakanın siyasi tercihlerinin özellikle incelenen dönemde demokratik açılım çerçevesinde olmasıyla uyumlu olarak söylemleri yapıcı ve olumlu; yer yer iç, yer yer dış grup olma yönünde olduğu söylenebilir. </w:t>
      </w:r>
    </w:p>
    <w:p w14:paraId="1CFE46FD" w14:textId="67D19810" w:rsidR="002858AE" w:rsidRPr="00E97E0B" w:rsidRDefault="002858AE" w:rsidP="0019121A">
      <w:pPr>
        <w:pStyle w:val="Heading2"/>
      </w:pPr>
      <w:bookmarkStart w:id="247" w:name="_Toc141133120"/>
      <w:r w:rsidRPr="00E97E0B">
        <w:t>5.</w:t>
      </w:r>
      <w:r w:rsidR="00964348" w:rsidRPr="00E97E0B">
        <w:t>3</w:t>
      </w:r>
      <w:r w:rsidRPr="00E97E0B">
        <w:t xml:space="preserve">. </w:t>
      </w:r>
      <w:r w:rsidR="00A663CD" w:rsidRPr="00E97E0B">
        <w:t>Öteki Olarak</w:t>
      </w:r>
      <w:r w:rsidRPr="00E97E0B">
        <w:t xml:space="preserve"> İç Siyasette Rakip İdeolojideki Partiler</w:t>
      </w:r>
      <w:bookmarkEnd w:id="247"/>
      <w:r w:rsidRPr="00E97E0B">
        <w:t xml:space="preserve"> </w:t>
      </w:r>
    </w:p>
    <w:p w14:paraId="61F62562" w14:textId="77777777" w:rsidR="002858AE" w:rsidRPr="00E97E0B" w:rsidRDefault="002858AE" w:rsidP="002858AE">
      <w:pPr>
        <w:spacing w:before="120" w:after="120" w:line="360" w:lineRule="auto"/>
        <w:ind w:firstLine="720"/>
        <w:jc w:val="both"/>
        <w:rPr>
          <w:rFonts w:ascii="Times New Roman" w:eastAsia="Calibri" w:hAnsi="Times New Roman" w:cs="Times New Roman"/>
          <w:b/>
          <w:sz w:val="24"/>
          <w:szCs w:val="24"/>
        </w:rPr>
      </w:pPr>
      <w:bookmarkStart w:id="248" w:name="_Toc115640253"/>
      <w:r w:rsidRPr="00E97E0B">
        <w:rPr>
          <w:rFonts w:ascii="Times New Roman" w:eastAsia="Calibri" w:hAnsi="Times New Roman" w:cs="Times New Roman"/>
          <w:sz w:val="24"/>
          <w:szCs w:val="24"/>
        </w:rPr>
        <w:t xml:space="preserve">Türkiye’de 2007-2011 döneminde pek çok eski ve yeni parti siyasi hayatta yer almıştır, fakat temel olarak, dört büyük partinin öne çıktığı ve siyasi gündemi oluşturduğu söylenebilir. Bu partilerin, birbirinden farklı ideolojik arka planları olduğundan, aralarındaki rekabet yalnızca liderlerin ve partilerin seçim galibiyetini ve </w:t>
      </w:r>
      <w:r w:rsidRPr="00E97E0B">
        <w:rPr>
          <w:rFonts w:ascii="Times New Roman" w:eastAsia="Calibri" w:hAnsi="Times New Roman" w:cs="Times New Roman"/>
          <w:sz w:val="24"/>
          <w:szCs w:val="24"/>
        </w:rPr>
        <w:lastRenderedPageBreak/>
        <w:t xml:space="preserve">kurumsal başarısını değil, aynı zamanda toplumsal eğilimleri ve ayrışma noktalarını yansıtmaktadır. 2007-2011 döneminde, Türkiye Büyük Millet Meclisi’ndeki parti dağılımı, aldığı oy sırasına göre Adalet ve Kalkınma Partisi (Ak Parti), Cumhuriyet Halk Partisi (CHP), Milliyetçi Hareket Partisi (MHP) ve Demokratik Toplum Partisi (DTP) şeklindedir. DTP, seçim barajı engeline takılmamak için Bin Umut Adayları adıyla bağımsız aday bloğu olarak seçime katılmış ve sonradan mecliste parti grubu oluşturmuştur. Ak Parti’nin siyasî kimliklerini parti bünyesindeki diğer siyasetçiler temsil edebilecek olsa da tek bir kişinin konuşmalarını esas almak gerektiğinde, söylemleri incelenmesi en uygun olacak kişi Ak Parti’nin genel başkanı ve dönemin başbakanı Recep Tayyip Erdoğan’dır. Ak Parti dışında dönemin genel siyasi eğilimlerini temsil eden ve Recep Tayyip Erdoğan’ın o dönemde hakkında en çok bahsettiği üç partiyle ilişkili olan veya ilişkilendirilen kavram ve kurumların söz konusu partiler üzerinden bir öteki konumu alması beklenebilir bir durumdur. Bu nedenle, siyasi partilerin ve parti temsilcilerinin ele alındığı bu bölümde, Erdoğan’ın söylemlerindeki ötekiliğin çeşitli görünümleri incelenerek ve yansıtılarak öteki konumu bağlamında ve kullandığı temalar ışığında ele alınmıştır.  </w:t>
      </w:r>
    </w:p>
    <w:p w14:paraId="3B0519C3" w14:textId="2922519A" w:rsidR="002858AE" w:rsidRPr="00E97E0B" w:rsidRDefault="002858AE" w:rsidP="002B7FA9">
      <w:pPr>
        <w:pStyle w:val="Heading3"/>
      </w:pPr>
      <w:bookmarkStart w:id="249" w:name="_Toc141133121"/>
      <w:r w:rsidRPr="00E97E0B">
        <w:t>5.</w:t>
      </w:r>
      <w:r w:rsidR="00964348" w:rsidRPr="00E97E0B">
        <w:t>3</w:t>
      </w:r>
      <w:r w:rsidRPr="00E97E0B">
        <w:t>.1. Cumhuriyet Halk Partisi (CHP</w:t>
      </w:r>
      <w:bookmarkEnd w:id="248"/>
      <w:r w:rsidRPr="00E97E0B">
        <w:t>)</w:t>
      </w:r>
      <w:bookmarkEnd w:id="249"/>
      <w:r w:rsidRPr="00E97E0B">
        <w:t xml:space="preserve"> </w:t>
      </w:r>
    </w:p>
    <w:p w14:paraId="4DBA1CAA"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Cumhuriyet Halk Partisi (CHP), Ak Parti iktidarının ilk gününden bu yana hem mecliste hem de seçmen tabanının sayısı ve alternatif ideolojisi bakımından, ulusal ölçekteki en yakın ve en büyük rakibi olmuştur. Osmanlı Devleti’nin dağılmasının ardından, Cumhuriyet rejimini kuran Mustafa Kemal Atatürk’ün ve kadrolarının kurduğu parti olan CHP, Türk siyasal hayatında, devlet müdahalesini savunan ama piyasa ekonomisine açık ve merkeziyetçi, cumhuriyetçi, Türk milliyetçisi, sosyal demokrat ve laiklik yanlısı bir parti olarak kabul edilmektedir. CHP, İslamcı, Kürt milliyetçisi, komünist ideolojilere karşı konumlanmakla birlikte, özellikle Demokrat Parti iktidarı sonrası döneminde milliyetçilikle sol siyaset arasında çeşitli esnemeler söz konusu olmuştur. Merkeziyetçi çizginin özellikle 1980 darbesine kadar sürdüğünü, sonrasında devam etse de hafiflediği söylenebilir. Bununla birlikte, laiklik ve cumhuriyet (ya da monarşi karşıtlığı) sürekli sabit kalabilmiştir. Bu iki çizgisine ek olarak, özellikle incelenen dönem için, CHP’nin ulusalcı ve ekonomik olarak rakibi Ak Parti’ye nazaran devletçi yönelimi ağır basmaktadır. </w:t>
      </w:r>
    </w:p>
    <w:p w14:paraId="77EA82E4"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 xml:space="preserve">Ak Parti ve Erdoğan’ın söylemlerdeki en sık karşılaşılan ötekinin, CHP ve savunduğu ya da yakın olduğu politikalar olduğu görülmektedir. Öte yandan, en dışsal öteki olmasa da   -ki en dışsal ötekinin Kürt siyasal hareketi dahilinde terör örgütleri olduğu açıktır- en büyük ötekinin CHP ve BDP ve (sonraki adıyla) Halkların Demokrasi Partisi (HDP) olduğu söylenebilir. Ayrıca, CHP, öteki olma bakımından tüm diğer daha olumsuz ötekilerle de ilişkilendirmeye müsait bir rakiptir. </w:t>
      </w:r>
    </w:p>
    <w:p w14:paraId="7AAC5C8F" w14:textId="57136C25"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“…Sosyal Demokratım diyenler sosyal demokrasi, sosyal adalet ve sosyal devlet ilkesinin kök salması için ne yapmışlar? (</w:t>
      </w:r>
      <w:r w:rsidR="00A655CA" w:rsidRPr="00E97E0B">
        <w:rPr>
          <w:rFonts w:ascii="Times New Roman" w:eastAsia="Calibri" w:hAnsi="Times New Roman" w:cs="Times New Roman"/>
          <w:sz w:val="24"/>
          <w:szCs w:val="24"/>
        </w:rPr>
        <w:t>Örtüklük</w:t>
      </w:r>
      <w:r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vertAlign w:val="superscript"/>
        </w:rPr>
        <w:footnoteReference w:id="413"/>
      </w:r>
    </w:p>
    <w:p w14:paraId="4167E458"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p>
    <w:p w14:paraId="49AFCA53"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Erdoğan bu ifadesinde, CHP’nin günümüzdeki çizgisi üzerinden bir eleştirde bulunarak, siyasi yelpazede bulunduğunu iddia ettiği konumun gerçek anlamda kendi konumuna tekabül etmediğini ima etmektedir. Bu ifade, CHP’nin iddia ettiği konumla örtüşmediği, dolayısıyla olduğundan farklı göründüğü eleştirisini ve düşüncesini de dillendiren bir kesittir. </w:t>
      </w:r>
    </w:p>
    <w:p w14:paraId="77F1C17E"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“…27 Nisan bildirisinden sonra neredeydiniz? Cumhurbaşkanlığı seçimi sürecinde neredeydiniz? Demokrasiye, hukuka, milli iradeye gölge düşürülmeye çalışıldığı günlerde neredeydiniz, nasıl bir tavır takındınız? (Ders Olarak Tarih) Milletin yanında, milli iradenin yanında mıydınız, yoksa vesayet özlemi içinde olanların yanında mıydınız? Meclis’in hür iradeyle çıkardığı yasaları iptal ettirmek için 33 kez Mahkeme kapısına dayandınız. Bu mu demokrasi anlayışınız? (İroni) Açık söylüyorum, Türkiye’de bir AK Parti vesayeti yoktur, Türkiye’de bir Tayyip Erdoğan vesayeti yoktur. Ancak Türkiye’de bir muhalefet meselesi olduğu, CHP’de de bir Deniz Baykal sultasının olduğu son derece aşikardır. (Ötekini Kötü Gösterme) Bu CHP zihniyeti, ancak vesayetçi anlayışlar hüküm sürerse kendisine siyaset alanı açabileceğini düşünüyor. Ancak siyasete müdahale olursa, milli iradeye müdahale olursa, halkın tercihlerine bir müdahale olursa, kendisine gün doğacağına inanıyor (Kutuplaştırma, Durum Tanımlanması)…”</w:t>
      </w:r>
      <w:r w:rsidRPr="00E97E0B">
        <w:rPr>
          <w:rFonts w:ascii="Times New Roman" w:eastAsia="Calibri" w:hAnsi="Times New Roman" w:cs="Times New Roman"/>
          <w:sz w:val="24"/>
          <w:szCs w:val="24"/>
          <w:vertAlign w:val="superscript"/>
        </w:rPr>
        <w:footnoteReference w:id="414"/>
      </w:r>
      <w:r w:rsidRPr="00E97E0B">
        <w:rPr>
          <w:rFonts w:ascii="Times New Roman" w:eastAsia="Calibri" w:hAnsi="Times New Roman" w:cs="Times New Roman"/>
          <w:sz w:val="24"/>
          <w:szCs w:val="24"/>
        </w:rPr>
        <w:t xml:space="preserve"> </w:t>
      </w:r>
    </w:p>
    <w:p w14:paraId="1098FBD5"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Konuşmacı, kesitin ilk kısmında 27 Nisan 2007’de Genelkurmay Başkanlığı tarafından yapılan siyasete müdahale amacı taşıyan açıklamaya atıf yapmakta ve CHP’nin Ak Parti’nin cumhurbaşkanı seçmesine engel olma yönündeki tavrını kastetmektedir. Demokrasi, hukuk ve milli irade kavramlarını korumadığını söylediği rakip partiye geçmiş hatırlatılarak, demokrasi konusunda eleştirilerine yanıt vermektedir. Türkiye tarihinde pek çok sefer meydana gelmiş olan askerî darbeler </w:t>
      </w:r>
      <w:r w:rsidRPr="00E97E0B">
        <w:rPr>
          <w:rFonts w:ascii="Times New Roman" w:eastAsia="Calibri" w:hAnsi="Times New Roman" w:cs="Times New Roman"/>
          <w:sz w:val="24"/>
          <w:szCs w:val="24"/>
        </w:rPr>
        <w:lastRenderedPageBreak/>
        <w:t>nedeniyle, 27 Nisan Bildirisi güçlü bir şekilde darbeleri çağrıştırmıştır, zira hem ordu bürokrasisinde gericilik endişesi Türkiye’de bilinen bir durumdu, hem de 28 Şubat tecrübesi hafızalardaki yerini korumaktaydı. Öte yandan, konuşmada, hukuka başvurma örneğiyle, CHP’nin iktidarın siyasi kararlarını engellemeye çalıştıklarını vurgulanmıştır. Anayasa Mahkemesi’ne başvurmanın demokrasi açısından bir sakıncası yoktur, ancak bunu tek adres olarak görmeleri ya da oyalamak için bunu yapmaları üzerinden bir eleştiri olarak anlamak mümkündür. Ak Parti başkanı, konuşmasında, CHP’yi vesayetçi, demokrasiye inanmayan ve millet iradesine karşı olarak konumlandırmaktadır. Dinleyicinin zihninde bu konuşmadan ötürü oluşacak olası imge yetersiz ve fırsatçı bir siyasi partidir. (Vesayetçi, demokrasiye ve millet iradesine karşı, fırsatçı)</w:t>
      </w:r>
    </w:p>
    <w:p w14:paraId="5801D3FF"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“…Biz Türkiye’yi dev projelerle geleceğe taşırken, muhalefet mahkeme koridorlarında, duruşma salonlarında. 23’üncü dönemde çıkardığımız yasalarla ilgili olarak CHP, 33 kere Anayasa Mahkemesi’ne gitmiş. (Ders Olarak Geçmiş) Bunların siyasetten anladığı engel olmak, taş koymak, sorun çıkarmak, kriz üretmek. Biz 81 vilayetimizi hizmetlerle, eserlerle donatırken, muhalefet Ankara’da engel çıkarmanın, işi yokuşa sürmenin gayretinde. Biz her platformda, her zeminde hakkı savunurken, haklıyı savunurken, mazlumların yanında dim dik dururken, muhalefet istismar siyasetinin peşinde (Aktör Tanımı, Durum Kavramsallaştırması)…”</w:t>
      </w:r>
      <w:r w:rsidRPr="00E97E0B">
        <w:rPr>
          <w:rFonts w:ascii="Times New Roman" w:eastAsia="Calibri" w:hAnsi="Times New Roman" w:cs="Times New Roman"/>
          <w:sz w:val="24"/>
          <w:szCs w:val="24"/>
          <w:vertAlign w:val="superscript"/>
        </w:rPr>
        <w:footnoteReference w:id="415"/>
      </w:r>
      <w:r w:rsidRPr="00E97E0B">
        <w:rPr>
          <w:rFonts w:ascii="Times New Roman" w:eastAsia="Calibri" w:hAnsi="Times New Roman" w:cs="Times New Roman"/>
          <w:sz w:val="24"/>
          <w:szCs w:val="24"/>
        </w:rPr>
        <w:t xml:space="preserve"> (Kutuplaştırma, Ötekini Kötü Gösterme)</w:t>
      </w:r>
    </w:p>
    <w:p w14:paraId="592ED1A0"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O dönemde yargı yolu, CHP tarafından Ak Parti’nin icraat ve kararlarını denetleyecek ve engelleyebilecek bir mekanizma olarak görülmekteydi. Bunun nedeni olarak, bürokratların ve yargıçların önemli bir kısmının Ak Parti iktidarları öncesinde görevlerine başlamış olmaları ve genel olarak Ak Parti icraat ve kararlarına direnme ihtimalleriydi. Konuşmacı, bir tarafta icraat yapan, diğer tarafta bunu engellemek yönünde çabalayan iki zıt görüntüyü çizmektedir. CHP, çözüme direnen ve hatta sorun yaratmaya çalışan bir imaj ile tasvir edilmektedir. Burada </w:t>
      </w:r>
      <w:r w:rsidRPr="00E97E0B">
        <w:rPr>
          <w:rFonts w:ascii="Times New Roman" w:eastAsia="Calibri" w:hAnsi="Times New Roman" w:cs="Times New Roman"/>
          <w:i/>
          <w:iCs/>
          <w:sz w:val="24"/>
          <w:szCs w:val="24"/>
        </w:rPr>
        <w:t>biz</w:t>
      </w:r>
      <w:r w:rsidRPr="00E97E0B">
        <w:rPr>
          <w:rFonts w:ascii="Times New Roman" w:eastAsia="Calibri" w:hAnsi="Times New Roman" w:cs="Times New Roman"/>
          <w:sz w:val="24"/>
          <w:szCs w:val="24"/>
        </w:rPr>
        <w:t xml:space="preserve"> ve </w:t>
      </w:r>
      <w:r w:rsidRPr="00E97E0B">
        <w:rPr>
          <w:rFonts w:ascii="Times New Roman" w:eastAsia="Calibri" w:hAnsi="Times New Roman" w:cs="Times New Roman"/>
          <w:i/>
          <w:iCs/>
          <w:sz w:val="24"/>
          <w:szCs w:val="24"/>
        </w:rPr>
        <w:t>muhalefet</w:t>
      </w:r>
      <w:r w:rsidRPr="00E97E0B">
        <w:rPr>
          <w:rFonts w:ascii="Times New Roman" w:eastAsia="Calibri" w:hAnsi="Times New Roman" w:cs="Times New Roman"/>
          <w:sz w:val="24"/>
          <w:szCs w:val="24"/>
        </w:rPr>
        <w:t xml:space="preserve"> ifadeleri, iç grup ile dış grubu belirgin bir antagonizma oluşturularak sunulmaktadır. Aynı zamanda, Erdoğan’ın burada oluşturduğu karşıtlık ilişkisi, mazlumların yanında dimdik durmak ile istismar -sömürü ve kötüye kullanma anlamlarına gelen bu ifade- olmak üzere, mazlum-zalim ikiliğini çağrıştırmaktadır. Dolayısıyla, konuşmada, dış grup zalim olma sınırlarında betimlenirken, mazlum olan halk yani iç gruba dahil olan </w:t>
      </w:r>
      <w:r w:rsidRPr="00E97E0B">
        <w:rPr>
          <w:rFonts w:ascii="Times New Roman" w:eastAsia="Calibri" w:hAnsi="Times New Roman" w:cs="Times New Roman"/>
          <w:sz w:val="24"/>
          <w:szCs w:val="24"/>
        </w:rPr>
        <w:lastRenderedPageBreak/>
        <w:t xml:space="preserve">bir topluluktur ve mazlum ve zalime ek olarak, mazlumun yanında kararlılıkla duran ve mücadele eden faal bir aktör tasvir edilmektedir.  </w:t>
      </w:r>
    </w:p>
    <w:p w14:paraId="742CC7DB"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Konuşmada muhalefet ifadesinin yalnızca CHP olarak kullanıldığını görülmektedir. En büyük muhalif meclis grubunun CHP olmasının dışında, geçmişte yaşanan siyasi çatışmaların ele alınması ve kastın CHP olması bunun önemli bir gerekçesidir. Diğer neden olarak, muhalefet ifadesinin yalnızca CHP için kullanılması, CHP’nin AK Parti’nin ideolojik rakibi olması ve geçmişteki ideolojik çatışmaların hatırlatılarak kendi seçmenini en büyük rakibe karşı uyarmak istemesinden ileri gelebilir. </w:t>
      </w:r>
    </w:p>
    <w:p w14:paraId="74FC0980" w14:textId="77777777" w:rsidR="002858AE" w:rsidRPr="00E97E0B" w:rsidRDefault="002858AE" w:rsidP="002858AE">
      <w:pPr>
        <w:spacing w:before="120" w:after="120" w:line="240" w:lineRule="auto"/>
        <w:jc w:val="both"/>
        <w:rPr>
          <w:rFonts w:ascii="Times New Roman" w:eastAsia="Calibri" w:hAnsi="Times New Roman" w:cs="Times New Roman"/>
          <w:iCs/>
          <w:sz w:val="24"/>
          <w:szCs w:val="24"/>
        </w:rPr>
      </w:pPr>
      <w:bookmarkStart w:id="251" w:name="_Toc115640254"/>
      <w:r w:rsidRPr="00E97E0B">
        <w:rPr>
          <w:rFonts w:ascii="Times New Roman" w:eastAsia="Calibri" w:hAnsi="Times New Roman" w:cs="Times New Roman"/>
          <w:bCs/>
          <w:iCs/>
          <w:sz w:val="24"/>
          <w:szCs w:val="24"/>
        </w:rPr>
        <w:t>“…Zor bir süreç</w:t>
      </w:r>
      <w:r w:rsidRPr="00E97E0B">
        <w:rPr>
          <w:rFonts w:ascii="Times New Roman" w:eastAsia="Calibri" w:hAnsi="Times New Roman" w:cs="Times New Roman"/>
          <w:iCs/>
          <w:sz w:val="24"/>
          <w:szCs w:val="24"/>
        </w:rPr>
        <w:t xml:space="preserve"> olduğunu hepimiz biliyoruz. (Durum Kavramasallaştırması, Kanı Birliği) Sabır isteyen, soğukkanlılık, dirayet isteyen bir süreç olduğunu hepimiz biliyoruz. (Kanı Birliği) Muhalefet partilerinin bu noktadaki tavrını az çok kestirmek mümkün. (Kanı Birliği) CHP ve MHP zaten bölge siyasetinde hiçbir varlık gösteremiyorlar. Dolayısıyla meselenin çözümü ya da çözümsüzlüğü noktasında bir samimiyet içinde değiller</w:t>
      </w:r>
      <w:bookmarkEnd w:id="251"/>
      <w:r w:rsidRPr="00E97E0B">
        <w:rPr>
          <w:rFonts w:ascii="Times New Roman" w:eastAsia="Calibri" w:hAnsi="Times New Roman" w:cs="Times New Roman"/>
          <w:iCs/>
          <w:sz w:val="24"/>
          <w:szCs w:val="24"/>
        </w:rPr>
        <w:t>. (Mesafe Koyma)”</w:t>
      </w:r>
      <w:r w:rsidRPr="00E97E0B">
        <w:rPr>
          <w:rFonts w:ascii="ÍmÛ»˛" w:eastAsia="Calibri" w:hAnsi="ÍmÛ»˛" w:cs="ÍmÛ»˛"/>
          <w:iCs/>
          <w:sz w:val="24"/>
          <w:szCs w:val="24"/>
          <w:vertAlign w:val="superscript"/>
        </w:rPr>
        <w:footnoteReference w:id="416"/>
      </w:r>
      <w:r w:rsidRPr="00E97E0B">
        <w:rPr>
          <w:rFonts w:ascii="Times New Roman" w:eastAsia="Calibri" w:hAnsi="Times New Roman" w:cs="Times New Roman"/>
          <w:bCs/>
          <w:iCs/>
          <w:sz w:val="24"/>
          <w:szCs w:val="24"/>
        </w:rPr>
        <w:t xml:space="preserve"> </w:t>
      </w:r>
      <w:r w:rsidRPr="00E97E0B">
        <w:rPr>
          <w:rFonts w:ascii="Times New Roman" w:eastAsia="Calibri" w:hAnsi="Times New Roman" w:cs="Times New Roman"/>
          <w:iCs/>
          <w:sz w:val="24"/>
          <w:szCs w:val="24"/>
        </w:rPr>
        <w:t xml:space="preserve">(Ötekini Kötü Gösterme) </w:t>
      </w:r>
    </w:p>
    <w:p w14:paraId="040577E7"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Erdoğan, incelenen bu dönemde sıklıkla ele alınan üç muhalif partiyi çeşitli kombinasyonlarda bir arada değerlendirmeyi tercih etmiştir. Kürt Sorunu ve çözümüyle ilgili konuların konuşulduğu bu kesit, CHP ve MHP’yi birlikte konumlandırmaktadır. Dönemin muhalefeti MHP başta olmak üzere, konuşmada izah edilen konuyla ilgili, Kürt seçmenin desteğini alamıyorlardı. Konuşma içerisinde durum kavramsallaştırması ile konuşmacı öncelikle sürecin zorluğuna vurgu yapmaktadır. Kanı birliğine başvurarak, dinleyicinin de kendisiyle aynı fikirde olduğunu göstermek istemektedir. Durumun zor olması ve dirayet istemesi, bunu yapacak olan karar alıcıların güçlü ve beceri sahibi olması gerektirdiği sonucunu doğurmaktadır. CHP ve MHP için “zaten” ifadesi kullanılarak rakiplerin zayıf olduğunu ve burada kendi iç grubu olan Ak Parti’ye yetişme kabiliyetinden mahrum oldukları şeklinde bir anlam güçlendirilerek aktarılmaktadır. Samimiyet eksikliği, </w:t>
      </w:r>
      <w:r w:rsidRPr="00E97E0B">
        <w:rPr>
          <w:rFonts w:ascii="Times New Roman" w:eastAsia="Calibri" w:hAnsi="Times New Roman" w:cs="Times New Roman"/>
          <w:i/>
          <w:iCs/>
          <w:sz w:val="24"/>
          <w:szCs w:val="24"/>
        </w:rPr>
        <w:t>onlar</w:t>
      </w:r>
      <w:r w:rsidRPr="00E97E0B">
        <w:rPr>
          <w:rFonts w:ascii="Times New Roman" w:eastAsia="Calibri" w:hAnsi="Times New Roman" w:cs="Times New Roman"/>
          <w:sz w:val="24"/>
          <w:szCs w:val="24"/>
        </w:rPr>
        <w:t xml:space="preserve"> ile </w:t>
      </w:r>
      <w:r w:rsidRPr="00E97E0B">
        <w:rPr>
          <w:rFonts w:ascii="Times New Roman" w:eastAsia="Calibri" w:hAnsi="Times New Roman" w:cs="Times New Roman"/>
          <w:i/>
          <w:iCs/>
          <w:sz w:val="24"/>
          <w:szCs w:val="24"/>
        </w:rPr>
        <w:t>bizler</w:t>
      </w:r>
      <w:r w:rsidRPr="00E97E0B">
        <w:rPr>
          <w:rFonts w:ascii="Times New Roman" w:eastAsia="Calibri" w:hAnsi="Times New Roman" w:cs="Times New Roman"/>
          <w:sz w:val="24"/>
          <w:szCs w:val="24"/>
        </w:rPr>
        <w:t xml:space="preserve"> arasındaki farklardan biri olarak ortaya koyulmakta ve kimin seçmenin güvenine daha layık olabileceğine dair bir mesajı içermektedir. Ayrıca, ifadede, Erdoğan’ın konuşmalarında kendisine ve kendi grubunu tanımlarken sıklıkla yer </w:t>
      </w:r>
      <w:r w:rsidRPr="00E97E0B">
        <w:rPr>
          <w:rFonts w:ascii="Times New Roman" w:eastAsia="Calibri" w:hAnsi="Times New Roman" w:cs="Times New Roman"/>
          <w:sz w:val="24"/>
          <w:szCs w:val="24"/>
        </w:rPr>
        <w:lastRenderedPageBreak/>
        <w:t>verdiği bir kavram olan samimiyetin dış gruptaki noksanlığı anlamı verilmiştir. Öteki burada samimi olmayan olarak betimlenmiştir.</w:t>
      </w:r>
    </w:p>
    <w:p w14:paraId="60D58AE5"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 “…Çünkü biz diğer muhalefet partileri gibi Sivas'ın ötesine geçemeyen bir parti değiliz. (İma) Seçim zamanı zar zor oralara gidip geldiler ondan sonra sadece tabela partisi olarak oralarda varlar. (İma) Hadi gelin o bölgede siyaset yapın, niye siyaset yapmıyorsunuz…? (İroni)”</w:t>
      </w:r>
      <w:r w:rsidRPr="00E97E0B">
        <w:rPr>
          <w:rFonts w:ascii="Times New Roman" w:eastAsia="Calibri" w:hAnsi="Times New Roman" w:cs="Times New Roman"/>
          <w:sz w:val="24"/>
          <w:szCs w:val="24"/>
          <w:vertAlign w:val="superscript"/>
        </w:rPr>
        <w:footnoteReference w:id="417"/>
      </w:r>
    </w:p>
    <w:p w14:paraId="7B3E52F2" w14:textId="77777777" w:rsidR="002858AE" w:rsidRPr="00E97E0B" w:rsidRDefault="002858AE" w:rsidP="002858AE">
      <w:pPr>
        <w:spacing w:before="120" w:after="120" w:line="36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t xml:space="preserve">Erdoğan bu ifadesinde rakipleri olan muhalefete meydan okumaktadır. Diğer bir deyişle muhalefete karşı bir güç gösterisi yapmaktadır. Bu meydan okuma, hem muhalefet seçmenini demoralize edebilecek hem de kendi seçmenine ve grubuna güven vermeye ve daha azimli olmalarına yarayacak bir ifadedir. Sivas’ın ötesine geçmemek ile Kürtlerin oylarına talip olamamayı kasteden konuşmacı, alaycı bir ima ile muhalefeti hedef almaktadır. Bu ima aynı zamanda, Sivas’ın batısına gidemediğini söylediği BDP’den her zaman klasik muhalefet olarak bahsetmemesine güzel bir örnektir. Erdoğan ulusal düzeyde rekabet etmediği BDP’yi burada konuşma içinde geçirmemiştir. Erdoğan, esasen CHP ve MHP’yi başarısız bir öteki olarak konumlandırmış ve bu söylemi aynı anlama gelen cümlelerle tekrarlamıştır. Tekrar sadece anlamı güçlendirmeye değil; kendi gücüne de vurgu yapmaya yaramaktadır. Tekrarlanan ifadeler, rakibi karşısında rahat bir imaj vermesine yardımcı olmuştur. </w:t>
      </w:r>
    </w:p>
    <w:p w14:paraId="2101135D"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“Tabii bunu aile duyunca bayağı üzüldüler. Çünkü ben aileyle görüştüğümde, ‘Böyle bir şeyler yansıdı televizyonlara Başbakanım. Biz Hakkari'de BDP'yle, terör örgütüyle beraber miting yapan CHP'den yardım isteyecek kadar düştük mü?’ diyorlar. (Dramatikleştirme, Ötekini Kötü Gösterme, Kutuplaştırma) Bu işin bir yanı. İşin diğer yanında da şu var. Sizin o siyasi uzantı olan o partiden hiçbir farkınız yok ki. Demek ki siz dağdakilerle müşterek çalışıyorsunuz. ‘Yardıma ihtiyacınız varsa çözelim’ diyorsunuz. E siz zaten Suriye'de de Baas'la beraber çalışıyorsunuz, hiçbir farkınız yok. Burada bunu söylüyorsunuz. Aynen bu söylediklerini zaten terör örgütünün siyasi uzantısı da söylüyor: ‘Eğer ihtiyaç varsa biz devreye gireriz. Biz dağdakilerle gider, görüşürüz. Alınması gerekenler varsa alırız’...”</w:t>
      </w:r>
      <w:r w:rsidRPr="00E97E0B">
        <w:rPr>
          <w:rFonts w:ascii="Times New Roman" w:eastAsia="Calibri" w:hAnsi="Times New Roman" w:cs="Times New Roman"/>
          <w:sz w:val="24"/>
          <w:szCs w:val="24"/>
          <w:vertAlign w:val="superscript"/>
        </w:rPr>
        <w:footnoteReference w:id="418"/>
      </w:r>
      <w:r w:rsidRPr="00E97E0B">
        <w:rPr>
          <w:rFonts w:ascii="Times New Roman" w:eastAsia="Calibri" w:hAnsi="Times New Roman" w:cs="Times New Roman"/>
          <w:sz w:val="24"/>
          <w:szCs w:val="24"/>
        </w:rPr>
        <w:t xml:space="preserve"> (Ötekini Kötü Gösterme)</w:t>
      </w:r>
    </w:p>
    <w:p w14:paraId="41509D98"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 kesitte, terör örgütü tarafından kaçırılan bir vatandaşın durumundan bahis açılmakta ve mağduriyeti yaşayan ailenin şahsı geri almak istemesi söz konusu olmaktadır. Bu olayla ilgili medyada çıkan haberler, ailenin CHP’den yardım istediği yönünde olmuştur. Bunun üzerine, Erdoğan, aileyle irtibat kurduğunu ve ailenin bu durumu yalanladığını dile getirmiştir. Buradaki ifadeler konuşmacıdan aktarıldığı için incelenen husus, olayın kendisinden ziyade konuşmacının olayı nasıl aktardığıdır. Bu </w:t>
      </w:r>
      <w:r w:rsidRPr="00E97E0B">
        <w:rPr>
          <w:rFonts w:ascii="Times New Roman" w:eastAsia="Calibri" w:hAnsi="Times New Roman" w:cs="Times New Roman"/>
          <w:sz w:val="24"/>
          <w:szCs w:val="24"/>
        </w:rPr>
        <w:lastRenderedPageBreak/>
        <w:t>nedenle, bunu esas alarak kesitin kendisi değerlendirilmiştir. Erdoğan, aileyle konuştuğunda, ailenin bu haberi yalanladığını aktarmaktadır. Yalanlama cümlesi ise Ak Parti seçmenine ve diğer BDP’li olmayan tüm seçmenlere mesaj niteliğindedir. “BDP ile miting yapan CHP’den yardım isteyecek kadar düştük mü?” ifadesi birçok konumlandırmayı tek başına içinde barındırmaktadır. Bu cümleye göre, en dışsal öteki olan PKK ile bağından ötürü, legal siyasi düzlemdeki en dışsal öteki olan BDP’yle miting yapacak kadar dış grupta olan bir CHP mevcuttur. Onlardan yardım istemek, “düşmek” olarak nitelendirilmektedir. “Düşmek” değer ve haysiyet anlamında bir kaybı ifade etmekte ve bahsi geçen ötekilerin konumları oldukça uzakta tasvir edilmektedir. Bu ifadesinin yer aldığı konuşma, Erdoğan’ın mevcut ötekileri içinde CHP’yi en fazla uzağa konumlandırdığı konuşmalardan biridir. Ayrıca, bu konumlandırma, bir vatandaştan aktarım biçiminde yapılmaktadır ve etkisi daha da güçlenmiştir. Bu konumlandırmada, kutuplaştırma ve ötekini kötü gösterme burada görülebilmektedir. Konuşmanın sonraki kısmı, çıkarım biçimindedir, ancak söylenenler yalnızca aynı mevzuyu açımlamaktan ibaret olup, alıntının anlamını güçlendirecek bir argüman olarak eşitlemenin kullanıldığı görülmektedir. BDP ile CHP’nin hiçbir farkının olmaması, BDP sempatizanı olmayan bir ortalama vatandaşın ve seçmenin gözünde kuvvetli bir dışlama gerekçesi olarak kullanılmaktadır. Bu konuşmanın devamında, “terör örgütünün siyasi uzantısı” olarak tanımlanan BDP, CHP’nin eşitlendiği partiyi daha açık ve belirgin bir şekilde tanımlamaktadır. Kelime olarak ifade edilmese de konuşmada, işbirlikçilik ithamı söz konusudur. Ek olarak, Baas iş birliğinden bahsedilmekte ve böylesine bir bilgi Sünnileri de CHP’ye karşı bir kez daha konumlandırma anlamı içermektedir.</w:t>
      </w:r>
    </w:p>
    <w:p w14:paraId="4CBA9CA5"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“…Deniz Baykal, Başkan Yardımcısı olduğu Sosyalist Enternasyonale katılamıyor. Peki ne oldu da CHP 30 yıldır katıldığı Sosyalist Enternasyonal’e bugün katılamayacak duruma geldi? (İma)... …Diyor ki Baykal; Sosyalist Enternasyonale gidersek ayıplarımızı yüzümüze vururlar (İma)… …Solculuk iddiasının boş olduğunu, bugünkü CHP’nin esasen otoriter bir yönetimden yana olduğunu söylerler (Aktör Tanımlaması)… …Türkiye’yi, kendi partisini bile savunamayan Baykal nasıl olur da en çetin müzakerelerin yapıldığı uluslararası platformlarda Türkiye’yi savunabilir? Ortada hazin bir siyasi parti öyküsü var. (İroni) Evrensel anlamda sol değerleri sahiplenmeyi başaramayan, demokratik kültürü özümseyemeyen, otoriter eğilimlere güç veren, hizipçi bir parti yönetimi. Kendi hesaplarını bile tutamayan, usulünce bir partiyi idare edemeyenlere bu ülkenin idaresi nasıl verilebilir? Bu ülkenin kaynakları </w:t>
      </w:r>
      <w:r w:rsidRPr="00E97E0B">
        <w:rPr>
          <w:rFonts w:ascii="Times New Roman" w:eastAsia="Calibri" w:hAnsi="Times New Roman" w:cs="Times New Roman"/>
          <w:sz w:val="24"/>
          <w:szCs w:val="24"/>
        </w:rPr>
        <w:lastRenderedPageBreak/>
        <w:t>nasıl emanet edilebilir? İşte bu yüzden, aziz milletimiz, CHP’yi iktidara getirmiyor…”</w:t>
      </w:r>
      <w:r w:rsidRPr="00E97E0B">
        <w:rPr>
          <w:rFonts w:ascii="Times New Roman" w:eastAsia="Calibri" w:hAnsi="Times New Roman" w:cs="Times New Roman"/>
          <w:sz w:val="24"/>
          <w:szCs w:val="24"/>
          <w:vertAlign w:val="superscript"/>
        </w:rPr>
        <w:footnoteReference w:id="419"/>
      </w:r>
      <w:r w:rsidRPr="00E97E0B">
        <w:rPr>
          <w:rFonts w:ascii="Times New Roman" w:eastAsia="Calibri" w:hAnsi="Times New Roman" w:cs="Times New Roman"/>
          <w:sz w:val="24"/>
          <w:szCs w:val="24"/>
        </w:rPr>
        <w:t xml:space="preserve"> (Ötekini Kötü Gösterme)</w:t>
      </w:r>
    </w:p>
    <w:p w14:paraId="2E184A46"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 kesitte konuşmacı, CHP için, kendi değerleriyle çelişen, anti-demokratik, elitist, otoriter, tutarsız, güvenilmez, hizipçi, beceriksiz ve milletin güvenmediği bir öteki imgesini oluşturmaktadır. Erdoğan CHP’nin üyesi olduğu Sosyalist Enternasyonal’e gidememesini ironik bir dille gündeme taşımaktadır. İroninin kullanımı, aynı zamanda bir basiretsizlik nitelemesini de içermektedir. Zira kendi ideolojik mensubiyetini ilan ettiği bir topluluk tarafından kabul edilmiyor olmak, yönetimsel ve ilkesel değerlendirmek yerine asıl mesele, söylemin içerdiği anlamın bunu iddia etmekte ve vurguyu buna yöneltmekte olduğudur. Diğer taraftan, ideolojik çerçevesi dahilinde tutarsız olmak, argümantasyon kabiliyeti bakımından bir zayıflık göstergesidir. Konuşmacı da karşı tarafta bir zayıflık olduğunu iddia ettiği tutarsızlık üzerinden göstermek istemiştir. Soru sorarak dinleyiciye seslenen konuşmacı, bir mukayese üzerine rakibinin güçsüzlüğüne vurgu yapmaktadır. Güçlü lider ve güçlü partinin seçmen tercihi ve grup içi dayanışmayı artıracağı varsayımı ile bunun tersinin de partinin imajını zayıflatabileceği tahmin edilebilir. </w:t>
      </w:r>
    </w:p>
    <w:p w14:paraId="74E61B38"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 konuşmada kullanılan ve dikkat çekici olan stratejilerinden bir tanesi, Erdoğan’ın sol bir siyasetçi gibi konuşmasıdır. Evrensel değer vurgusu yaptığı cümlede, sol değerler olumlu bir anlamda kullanılmıştır. Genel olarak, Erdoğan’ın söylemlerinde sol kelimesinin pek olumsuz anlamda kullanıldığına rastlanmamıştır; ancak bu kelimeyi nadiren kullandığı söylenebilir. Ayrıca, Erdoğan, değerlerden bahsettiği cümlesindeki olumlu anlamı, “demokratik kültürü benimsemek” gibi diğer tamamlayıcı unsurlarla sabitlemektedir. Cümle içinde buna zıt olarak, hizipçilik ve otoriterlik kullanılarak, söz konusu değerlerin karşısında konumlandırılmaktadır. Bu konuşmada, biraz ileri giderek Erdoğan’ın “gerçek sol biziz” dercesine bu değerleri yükselttiğini düşünebiliriz. Bunun bir sebebi, kendi sözcüklere anlam verme şeklinin dışında, özellikle CHP’den uzaklaşan sol seçmene yakın bir imaj çizme isteği olabilir. Bütün bu akıl yürütmeden yola çıkılarak, CHP’nin ülke yönetiminin teslim edilemeyeceği parti olduğu, liderinin de CHP’yi zaten iyi yönetmediği sonucuna </w:t>
      </w:r>
      <w:r w:rsidRPr="00E97E0B">
        <w:rPr>
          <w:rFonts w:ascii="Times New Roman" w:eastAsia="Calibri" w:hAnsi="Times New Roman" w:cs="Times New Roman"/>
          <w:sz w:val="24"/>
          <w:szCs w:val="24"/>
        </w:rPr>
        <w:lastRenderedPageBreak/>
        <w:t>varılmaktadır. Öte yandan, milletin güvenini kazanamadığı teşhisiyle, varılan sonucun sağlaması yapılmaktadır.</w:t>
      </w:r>
    </w:p>
    <w:p w14:paraId="3AAF3199"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“…şehirlerimizi mamur hale getirmişiz de iyi olmamış mı diyecekler? Allah aşkına ne diyecekler? Ülkenin neresinde, hangi şehrinde taş üstüne taş koymuşlar? Millet onların devri iktidarında kıtlıktan ve yokluktan başka ne görmüş? Göğsünüzü döve döve kadrolu muhalefet liderliğiyle halkımızı daha ne kadar oyalayabilirsiniz? Biz, çok iyi koalisyon ortağı oluruz mu diyorsunuz? Halka ne diyecekler? Biz oturduğumuz yerde Başbakanlara çok iyi laf atarız mı diyecekler? Biz doğuştan seçkiniz, doğuştan elitiz mi diyorlar, ne diyorlar? Milletin belleğinde hangi hatıralarla yâd ediliyorlar? Milletle, milletin değerleriyle kavga ederek nereye varabilirler? (Kutuplaştırma, İroni)...”</w:t>
      </w:r>
      <w:r w:rsidRPr="00E97E0B">
        <w:rPr>
          <w:rFonts w:ascii="Times New Roman" w:eastAsia="Calibri" w:hAnsi="Times New Roman" w:cs="Times New Roman"/>
          <w:sz w:val="24"/>
          <w:szCs w:val="24"/>
          <w:vertAlign w:val="superscript"/>
        </w:rPr>
        <w:footnoteReference w:id="420"/>
      </w:r>
      <w:r w:rsidRPr="00E97E0B">
        <w:rPr>
          <w:rFonts w:ascii="Times New Roman" w:eastAsia="Calibri" w:hAnsi="Times New Roman" w:cs="Times New Roman"/>
          <w:sz w:val="24"/>
          <w:szCs w:val="24"/>
        </w:rPr>
        <w:t xml:space="preserve"> </w:t>
      </w:r>
    </w:p>
    <w:p w14:paraId="6E0E96F7"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Konuşmada, kutuplaştırma ve ironi öğelerinin soru şeklinde vurgulandığı bu şiddetli tonda, bir taraftan rakip alaya alınarak, seçmen gözünde değer kaybına uğratılmakta ve CHP hakkındaki tespitler sıralanmaktadır. Bununla birlikte, metin içinde herhangi bir tekrar olmadığı halde yalnızca elit ve seçkin kelimesi anlamın altını çizmek istercesine üst üste kullanıldığı görülmektedir. Millet sözcüğünü kullandığı birçok konuşmasında olduğu gibi Erdoğan karşıt anlam olarak konumlandırdığı elit kelimesini öteki olarak kullanmaktadır. Elit ifadesi, Batıcılığı ve dolaylı olarak milletin değerlerinden kopukluğu çağrıştırdığından, bu kelimeyi anlamca tekrar etmesi dinleyicinin karşıtlık duygusuna hitap etme amacı taşıyor olabilir. Ayrıca, seçkinlik çoğunlukla doğuştan gelen bir anlamı taşıdığından, bu kelimenin kullanılması da vurgunun kasten yapılmış olduğu ihtimalini artırmaktadır.</w:t>
      </w:r>
    </w:p>
    <w:p w14:paraId="40C28082"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Kesitte yer alan ve kullanılan diğer bir konuşma stratejisi, Erdoğan’ın soru yapısında cümleyi art arda kullanması ve bu soruların hiçbirinin aslında birer soru değil yargı olmasıdır. Bu stratejinin kullanılması, dinleyiciler soruları ayrı ayrı ele alamayacağından, toplu bir kabul etme hissi yaratan bir tarz olarak yorumlanabilir. Erdoğan’ın siyasi dilinde, CHP sıklıkla elitist bir parti olarak kodlanmıştır ve kavrama yüklenen ya da kavramın çağrıştırdığı diğer bir anlam da milletle kavgalı olmasıdır.</w:t>
      </w:r>
    </w:p>
    <w:p w14:paraId="00C8E1F5"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“…Bunlar, milletin sevincini, heyecanını, coşkusunu dahi paylaşamayacak kadar, milletle aynı yöne bakamayacak kadar milletten ve ülkeden kopuklar. Bizim, yıllarca üzerine düşünüp, son derece ayrıntılı bir hale getirdiğimiz projeyi, daha anlamadan, </w:t>
      </w:r>
      <w:r w:rsidRPr="00E97E0B">
        <w:rPr>
          <w:rFonts w:ascii="Times New Roman" w:eastAsia="Calibri" w:hAnsi="Times New Roman" w:cs="Times New Roman"/>
          <w:sz w:val="24"/>
          <w:szCs w:val="24"/>
        </w:rPr>
        <w:lastRenderedPageBreak/>
        <w:t>kavramadan, üzerinde hiç düşünmeden silip atmak, karalamak, küçümsemek, muhalefetin nasıl bir vizyon içinde olduğunu da göstermesi açısından önemlidir…”</w:t>
      </w:r>
      <w:r w:rsidRPr="00E97E0B">
        <w:rPr>
          <w:rFonts w:ascii="Times New Roman" w:eastAsia="Calibri" w:hAnsi="Times New Roman" w:cs="Times New Roman"/>
          <w:sz w:val="24"/>
          <w:szCs w:val="24"/>
          <w:vertAlign w:val="superscript"/>
        </w:rPr>
        <w:footnoteReference w:id="421"/>
      </w:r>
      <w:r w:rsidRPr="00E97E0B">
        <w:rPr>
          <w:rFonts w:ascii="Times New Roman" w:eastAsia="Calibri" w:hAnsi="Times New Roman" w:cs="Times New Roman"/>
          <w:sz w:val="24"/>
          <w:szCs w:val="24"/>
        </w:rPr>
        <w:t xml:space="preserve"> </w:t>
      </w:r>
    </w:p>
    <w:p w14:paraId="3591289B"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Milletten kopuk olma özelliği, Erdoğan’ın CHP söyleminde anahtar kavramlardan biri olarak değerlendirilebilir. Milletle duygu birliği içinde olamamanın yanında, milletle aynı sorunları paylaşmayan bir anlama gelen bu ifade, metinde iç grubu, milletle partiyi birleştirerek tanımlaması bakımından manidardır. Milletten ve onunla aynı yöne bakmaktan bahsetmenin sonrasında, partinin projelerinin küçümsendiği bilgisini konunun devamı olarak eklemesi, milleti biz, CHP’yi de onlar olarak konumlandırmaktadır.</w:t>
      </w:r>
    </w:p>
    <w:p w14:paraId="1CCF896B" w14:textId="657DFF74"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“…İşte bu zihniyet, 40 yıl önce neyse, bugün de o. 40 Yıl önce neredelerse, bugün de oradalar. Her türlü yeniliğin, her türlü değişimin, reformun karşısındalar. (Aktör Tanımlaması, Ders Olarak Tarih) Şu 8</w:t>
      </w:r>
      <w:r w:rsidR="0009450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5 yılda, hangi adımı attıysak, hangi reform için kolları sıvadıysak, bu statükocu zihniyeti karşımızda bulduk. Bizi engellemek, yavaşlatmak için her yola başvurdular; engelleyemeyince de soluğu her seferinde Anayasa Mahkemesi’nde aldılar. Şu anda, seçim sandığını gördüler, 8.5 yıl boyunca bıkmadan, usanmadan karşı çıktıkları her ne varsa ondan vazgeçtiler, U dönüşü yaparak, çark ederek, karşı çıktıkları her şeyi savunmaya başladılar. (Ötekini Kötü Gösterme, Aktör Tanımlaması, Kutuplaştırma) Allah aşkına, Ana muhalefet Partisi CHP’nin, artık siyasi yelpazenin neresinde durduğunu, neresinde yer aldığını bilen, anlayan var mı? (İroni) Sağda deseniz, değiller, solda deseniz, hiç değiller. Sosyal demokrasiyle alakaları kalmadı. Liberal deseniz değiller, demokrat hiç değiller, muhafazakârlık hak getire. Ekonomide aynı anda hem liberaller, hem devletçiler, hem müdahaleciler. Bir yandan aile derler, Aile Sigortası derler, öte yandan aile kurumunu çürütecek, kirletecek işlerin içine girerler. Bir yandan Ecevit derler, Ecevit’in mirasına sahip çıkarlar, diğer yandan giderler, Ecevit’e “iş göremez” raporu verenleri, hem de Ecevit’in memleketinden aday yaparlar. Şu anda yeni CHP’nin karşılık geldiği siyasi tanım, olsa olsa oportünizmdir, Makyevelizmdir. (Ötekini Kötü Gösterme, Aktör Tanımlaması, Kutuplaştırma) Gidiyorlar, Batman’da Genel Af diyorlar, KCK’ya sahip çıkıyorlar; geliyorlar Silivri’de Ergenekon’a avukatlık yapıyorlar, Ergenekon sanıklarına sahip çıkıyorlar. Buradan CHP’ye hatırlatmak isterim: Demokrasiyle Ergenekon aynı kefede tartılmaz. Çetelere sahip çıkarak demokrat olunmaz. Çeteleri arkasına alan, çetelerden medet uman, çetelerin talimatıyla liste hazırlayanlar, Türkiye’nin hukukunu savunamazlar. İşte görüyorsunuz; Genel Başkan, gittiği her yerde, başörtüsü üzerinden, Mevlâna üzerinden, Kutlu Doğum Haftası üzerinden istismar siyaseti güderken, Samsun’da çıkıp bu ülkede ezan CHP sayesinde okunuyor derken, Eskişehir’de kendi belediyeleri, camiye, tesettüre hakaret içeren sergiye ev sahipliği yapıyor. Sen çıkıp, bu ülkede ezan CHP sayesinde okunuyor diyeceksin, ama senin adayın çıkıp, Allah’ın ayetine, ilahi mesaja sinir bozucu diyecek. (Kutuplaştırma) Kusura bakma, bunu millete yutturamazsın. Millet de yutmuyor zaten… … İstedikleri kadar makyaj yapsınlar, CHP yine CHP’dir. 40 yıl önceki zihniyet neyse, bugünkü zihniyet de aynen odur. Fabrika ayarları değişmiyor. Bunlar, </w:t>
      </w:r>
      <w:r w:rsidRPr="00E97E0B">
        <w:rPr>
          <w:rFonts w:ascii="Times New Roman" w:eastAsia="Calibri" w:hAnsi="Times New Roman" w:cs="Times New Roman"/>
          <w:sz w:val="24"/>
          <w:szCs w:val="24"/>
        </w:rPr>
        <w:lastRenderedPageBreak/>
        <w:t>millete ait hiçbir değere, hiçbir inanca, hiçbir kutsala bugüne kadar saygı göstermediler; bundan sonra da saygı göstermeyeceklerini alenen ifşa ediyorlar. (Ötekini Kötü Gösterme, Kutuplaştırma) Bu millet, ekonomik anlamda, sosyal anlamda, siyasi anlamda, en önemlisi de inançlar noktasında en büyük zulmü, en büyük mezalimi CHP’nin tek başına iktidar olduğu dönemlerde yaşamıştır (Ötekini Kötü Gösterme, Kutuplaştırma, Ders Olarak Tarih)…”</w:t>
      </w:r>
      <w:r w:rsidRPr="00E97E0B">
        <w:rPr>
          <w:rFonts w:ascii="Times New Roman" w:eastAsia="Calibri" w:hAnsi="Times New Roman" w:cs="Times New Roman"/>
          <w:sz w:val="24"/>
          <w:szCs w:val="24"/>
          <w:vertAlign w:val="superscript"/>
        </w:rPr>
        <w:footnoteReference w:id="422"/>
      </w:r>
    </w:p>
    <w:p w14:paraId="60D79B45"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Erdoğan’ın CHP’ye bakışındaki sabitelerden bir diğeri de CHP’nin değişmeyen sabit ve maraza kaynağı bir yapı olduğudur. Bunun formüle edildiği cümle de fabrika ayarlarının değişmemesi ibaresidir. Yukarıda görülen konuşma kesiti uzun olmakla birlikte konuşmacının siyasi söyleminin CHP bağlamında genel hatlarını yansıtmak bakımından önemlidir. Bıkmadan usanmadan ifadesi anlamsız bir inadın peşinde giden düşüncesiz ve muhalefet etmek için muhalefet eden bir muhalefet imajını yansıtmaktadır. İroni unsuruyla, konuşmanın başlarında siyasi yelpazenin herhangi bir yerine oturmadığını iddia eden Erdoğan, ötekisini belirsiz ve tanımlanamaz olarak tanımlamaktadır. Rakibi güçsüzleştirme ve imajını zedeleyecek böyle bir anlamı açıklayarak ne sağ, ne sol olmadığı şeklinde teferruat vermektedir.</w:t>
      </w:r>
    </w:p>
    <w:p w14:paraId="4A6C9842"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Konuşmacı, CHP’yi, kendi lideri olan Ecevit’in mirasına sahip çıkmamakla ve aile gibi muhafazakâr bir kurumu zayıflatacak faaliyetler yapmakla eleştirdiği olumsuz ifadelerin sonrasında partiyi tanımlamaktadır. Partiye ilişkin yaptığı tanım, oportünizm ve makyavelizmdir. Bu tanım, ötekini kötü olarak tanımlamak ve dinleyici kitleyle kutuplaştırma amacına hizmet etmektedir. Partiyi Batman’da genel af isteyip, sonrasında PKK ile iltisaklı KCK’ya destek vermekle suçlayarak, teröre destek verme imasını yenileyen konuşmacı, bu konuşmasında, CHP’nin Ergenekon davasıyla ilgili tutumunu örtülü olarak darbecilikle ilişkilendirmektedir. Vesayet kavramına sıklıkla başvuran Erdoğan, özellikle askerî vesayet teriminin karşısında milli irade ve demokrasi kavramlarını kullanmaktadır. Ergenekon davası göndermesi, CHP’nin ulusalcı kanadının daha yakın olduğu gruplarla ilişkilendiği bir kavramsallaştırmaya tekabül etmektedir. Kesitin sonundaki cümleler ise CHP’yi olumsuz bir öteki olarak tanımlamaya yöneliktir. CHP’ye dair, tüm değerlere ve özellikle dini değerlere karşı bir parti imajı çizilmekte ve bu tek parti zamanında uygulanan “zalim” politikalarla tarihten bir ders olarak örneklendirilmektedir.</w:t>
      </w:r>
    </w:p>
    <w:p w14:paraId="4319EEEC"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“…Sırf proje hakkında, projeyi karalamak amacıyla bu projede insan yok diyenler, kendi anladıkları manada insanı elbette bu projede göremeyecekler. Evet, bu projede çeteler olmayacak, mafya olmayacak, hukuk dışı karanlık örgütler olmayacak, rantiye olmayacak. İSKİ’yi boşaltan, Kocaeli’ni dolandıran, Edirne’de tescilli yolsuzluk yapanlar türünden insanlar bu projede yer almayacaklar. Ama bu ülkenin vicdan, izan, hakkaniyet sahibi her insanı kendini bu projenin içinde bulacak (Örtüklük)...”</w:t>
      </w:r>
      <w:r w:rsidRPr="00E97E0B">
        <w:rPr>
          <w:rFonts w:ascii="Times New Roman" w:eastAsia="Calibri" w:hAnsi="Times New Roman" w:cs="Times New Roman"/>
          <w:sz w:val="24"/>
          <w:szCs w:val="24"/>
          <w:vertAlign w:val="superscript"/>
        </w:rPr>
        <w:footnoteReference w:id="423"/>
      </w:r>
    </w:p>
    <w:p w14:paraId="54EFB07F"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Proje ve yenilik karşıtı olarak tarif edilen CHP’yi konu alan yukarıdaki kesitte, geçmiş dönemdeki çeşitli hukuksuzluk ve yolsuzluklar ima edilip, CHP sorumlu olarak gösterilmektedir. Ayrıca, İstanbul’da gerçekleştirmeyi düşündüğü kanal projesini kastederek, vicdan, hakkaniyet ve izan sahibi olan herkesin dahil olacağını söyleyerek, dahil olmayacak olanların da bu kavramlardan uzak olduğu sonucunun çıkarılmasına neden olabilecek bir ifade kullandığı görülmektedir. Bu ifade, örtülü olarak destek vermeyecek olanların iç grupta yer alamayacağı yorumuna yol açmaktadır.</w:t>
      </w:r>
    </w:p>
    <w:p w14:paraId="0A52CD09"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“…CHP Genel Başkanı, seçim kampanyasının ilk anından itibaren, bize, ailemize, milli ve manevi değerlere, hatta Allahu Teâla’nın yüce zatına hakaretler etmiştir. (Ötekini Kötü Gösterme, Kutuplaştırma) En son da Bursa’da, içindeki gerçek öfke ve nefreti kusmuş; AK Parti’ye oy verenleri “beyinsiz” olarak tanımlayacak kadar içindeki millet düşmanlığını ortaya dökmüştür. Her türlü kutsalı, her türlü değeri istismar etmekten hiç kaçınmamıştır. Anne ve babasının tüm feryatlarına rağmen, 2.5 yaşında vefat eden bir bebeği istismar etmeye devam etmiş, ne kadar vicdansız olduğunu açık açık ortaya koymuştur. (Kurbanlaştırma) Her gün bir yalan söylemiş, yarım saat geçmeden yalanlarından çarketmiş, bundan da en küçük bir ar duymamıştır. (Genelleştirme) İnsanlar, kameralar aracılığıyla bütün milletin yüzüne baka baka, bu kadar rahat yalan söyleyen bir siyasetçiyi, Türk siyasi tarihi ilk kez görmüştür. (Dramatikleştirme) Ne yazık ki, CHP’li yandaş medya, bu ilkesiz ve tutarsız siyasetin üzerine gitmek yerine, bunu sorgulamak yerine, bu iftira ve yalanların üzerini örtmeyi tercih etmiştir…”</w:t>
      </w:r>
      <w:r w:rsidRPr="00E97E0B">
        <w:rPr>
          <w:rFonts w:ascii="Times New Roman" w:eastAsia="Calibri" w:hAnsi="Times New Roman" w:cs="Times New Roman"/>
          <w:sz w:val="24"/>
          <w:szCs w:val="24"/>
          <w:vertAlign w:val="superscript"/>
        </w:rPr>
        <w:footnoteReference w:id="424"/>
      </w:r>
      <w:r w:rsidRPr="00E97E0B">
        <w:rPr>
          <w:rFonts w:ascii="Times New Roman" w:eastAsia="Calibri" w:hAnsi="Times New Roman" w:cs="Times New Roman"/>
          <w:sz w:val="24"/>
          <w:szCs w:val="24"/>
        </w:rPr>
        <w:t xml:space="preserve"> </w:t>
      </w:r>
    </w:p>
    <w:p w14:paraId="25907E08"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Yukarıdaki kesitte, CHP’ye yönelik Allah dahil olmak üzere her şeye, tüm millete ve kutsal değerlere hakaret suçlaması, herhangi bir incelemeye gerek duymaksızın, doğrudan konumlandırmayı işaret etmektedir. İçindeki gerçek öfke ve nefret ifadesi, zaten öfke ve nefret duyan, ama onu kurnazca ve sinsi amaçlar için saklayan karikatürize düzeyde kötücül bir rakip imgelemini ortaya koymaktadır. Millet düşmanı ifadesinin geçtiği bu kesitte, CHP Genel Başkanı kastedilmektedir. </w:t>
      </w:r>
      <w:r w:rsidRPr="00E97E0B">
        <w:rPr>
          <w:rFonts w:ascii="Times New Roman" w:eastAsia="Calibri" w:hAnsi="Times New Roman" w:cs="Times New Roman"/>
          <w:sz w:val="24"/>
          <w:szCs w:val="24"/>
        </w:rPr>
        <w:lastRenderedPageBreak/>
        <w:t>Bebek istismarı ile kasıt, siyasi gündeme taşımaktır. Bu ifade, bir ailenin dramı kurbanlaştırılarak, politik rakibi vicdansız olarak niteleme için kullanılmaktadır. Kesit içinde, CHP Genel Başkanı için yalancı ve utanmaz anlamları mübalağalar kullanılarak ve genelleme yapılarak açık bir şekilde verilmektedir. Son olarak, CHP’ye yakın medya, ilkesiz, tutarsız ve yalancı olarak tanımlanmaktadır.</w:t>
      </w:r>
    </w:p>
    <w:p w14:paraId="333FAF61"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“…Çıkıyor, 28 Şubat müdahalesi, 27 Nisan bildirisi AK Parti’yi güçlendirmiştir, AK Parti’nin işine gelmiştir diyor… Zulüm karşısında, onurunuzla, şerefinizle dik durursanız, kaybetmezsiniz, kazanırsınız; onlar, işte bunu hiçbir zaman anlamadı ve anlamayacak. (Kural İfadesi) 27 Mayıs müdahalesi karşısında CHP dik dursaydı, milletin nezdindeki yeri bugün çok farklı olurdu. 28 Şubat karşısında, 27 Nisan bildirisi karşısında CHP dik durabilseydi, bugün millet nezdinde itibarı çok farklı olurdu. Ama hiçbir zaman dik durmadılar; müdahaleler karşısında eğildiler, müdahalelere alkış tuttular ve işte onun için de milletim bunlara tek başına iktidar vermedi ve vermeyecek. (Ders Olarak Tarih) 27 Mayıs’ta bunu anlamadılar, bugün de bunu anlamış değiller. 27 Mayıs’ta nasıl ikircikli bir tutum sergiledilerse, işte bugün de, bir milim sapma göstermeden aynı ikircikli, aynı samimiyetsiz tavrı sergiliyorlar. Çünkü bunların zihniyetleri hiç değişmedi. Bakın burada, şu hususun altını özellikle çizmek istiyorum… Son günlerde, Cumhuriyet Halk Partisi’nin tarihine ilişkin son derece önemli belgeler açıkladık. Dersim katliamıyla ilgili belgeler açıkladık. Kürt meselesine ilişkin belgeler açıkladık. Kitapların yasaklanması, camilerin satılması, kapatılması, ahır haline getirilmesiyle ilgili belgeler açıkladık. Biz, CHP tarihini, gündem oluşturmak, gündemi başka yerlere çekmek için değil, değişmeyen, bugün de varlığını idame ettiren bir zihniyeti deşifre etmek amacıyla gündeme getiriyoruz. (Karşı Gerçeklik) Bugün, Türkiye’nin hangi kronik meselesine bakarsanız, altında 1940’lı yılların baskıcı rejimini görürsünüz. Kürt meselesinin temelinde tek parti CHP yönetimi vardır. Azınlıklar meselesinin temelinde, tek parti CHP yönetimi vardır. Sivilleşme, özgürleşme, demokratikleşme meselelerinin temelinde, tek parti CHP yönetimi vardır. Dine, inanca, inanç özgürlüğüne yönelik kısıtlamaların altında, aynı şekilde bu CHP zihniyeti vardır. Ekonomik meselelerin temelinde de işte o zihniyetin etkisi vardır. Bu zihniyetle hesaplaşılmadığı, bu zihniyetle yüzleşilmediği sürece, Türkiye kronik meselelerini çözemez. Bugün </w:t>
      </w:r>
      <w:r w:rsidRPr="00E97E0B">
        <w:rPr>
          <w:rFonts w:ascii="Times" w:eastAsia="Calibri" w:hAnsi="Times" w:cs="Times New Roman"/>
          <w:sz w:val="24"/>
          <w:szCs w:val="24"/>
        </w:rPr>
        <w:t>hâlâ</w:t>
      </w:r>
      <w:r w:rsidRPr="00E97E0B">
        <w:rPr>
          <w:rFonts w:ascii="Times New Roman" w:eastAsia="Calibri" w:hAnsi="Times New Roman" w:cs="Times New Roman"/>
          <w:sz w:val="24"/>
          <w:szCs w:val="24"/>
        </w:rPr>
        <w:t xml:space="preserve">, 27 Mayıs’ın ilerici bir darbe olduğunu savunanlar var. Bugün </w:t>
      </w:r>
      <w:r w:rsidRPr="00E97E0B">
        <w:rPr>
          <w:rFonts w:ascii="Times" w:eastAsia="Calibri" w:hAnsi="Times" w:cs="Times New Roman"/>
          <w:sz w:val="24"/>
          <w:szCs w:val="24"/>
        </w:rPr>
        <w:t>hâlâ</w:t>
      </w:r>
      <w:r w:rsidRPr="00E97E0B">
        <w:rPr>
          <w:rFonts w:ascii="Times New Roman" w:eastAsia="Calibri" w:hAnsi="Times New Roman" w:cs="Times New Roman"/>
          <w:sz w:val="24"/>
          <w:szCs w:val="24"/>
        </w:rPr>
        <w:t xml:space="preserve">, Dersim katliamını savunanlar var. Bugün, kitap yasaklamalarını meşrulaştırmaya çalışan, camilerin kapatılmasını, satılmasını inkâr eden, bu gerçeği sulandırmaya çalışan bir zihniyet var. Tıpkı 1940’larda olduğu gibi, tıpkı 28 Şubat sürecinde olduğu gibi, bugün de devşirme, sahte ve sahtekâr din adamlarıyla toplum ve inanç mühendisliği yapmaya çalışan bir zihniyet var. Bugün </w:t>
      </w:r>
      <w:r w:rsidRPr="00E97E0B">
        <w:rPr>
          <w:rFonts w:ascii="Times" w:eastAsia="Calibri" w:hAnsi="Times" w:cs="Times New Roman"/>
          <w:sz w:val="24"/>
          <w:szCs w:val="24"/>
        </w:rPr>
        <w:t>hâlâ</w:t>
      </w:r>
      <w:r w:rsidRPr="00E97E0B">
        <w:rPr>
          <w:rFonts w:ascii="Times New Roman" w:eastAsia="Calibri" w:hAnsi="Times New Roman" w:cs="Times New Roman"/>
          <w:sz w:val="24"/>
          <w:szCs w:val="24"/>
        </w:rPr>
        <w:t xml:space="preserve">, başörtüsü yasağını savunan, katsayı uygulamasını savunan, kesintisiz eğitime karşı çıkıp bunu Anayasa Mahkemesi’ne götüren, yasakçı, baskıcı, inanç düşmanı bir zihniyet var. (Aktör Tanımlaması) Bu zihniyeti deşifre etmek, bizim boynumuzun borcudur. Bu zihniyeti milletimize, genç nesillere her fırsatta hatırlatmak, bizim millete borcumuzdur. (Empati) 28 Şubat sürecinde, bizim de sizlerin de neler yaşadığını bir biz biliyoruz, bir de Allah biliyor… Eğer bunu yapanlar, bunun mimarları, bunun mühendisleri, bunun kuklaları, piyonları deşifre olmazsa, eğer bunlardan hesap sorulmazsa, aynı felaketi biliniz ki çocuklarımız da yaşayacaktır. Eğer, 28 Şubat sürecinde, emirle, talimatla yazı yazanlar, psikolojik operasyonlara </w:t>
      </w:r>
      <w:r w:rsidRPr="00E97E0B">
        <w:rPr>
          <w:rFonts w:ascii="Times New Roman" w:eastAsia="Calibri" w:hAnsi="Times New Roman" w:cs="Times New Roman"/>
          <w:sz w:val="24"/>
          <w:szCs w:val="24"/>
        </w:rPr>
        <w:lastRenderedPageBreak/>
        <w:t>ruhlarını satanlar deşifre olmazsa, biliniz ki ilk fırsatta bunlar, bu ülkenin aydınlık geleceğini yeniden karartmak isteyecektir (Kutuplaştırma)…”</w:t>
      </w:r>
      <w:r w:rsidRPr="00E97E0B">
        <w:rPr>
          <w:rFonts w:ascii="Times New Roman" w:eastAsia="Calibri" w:hAnsi="Times New Roman" w:cs="Times New Roman"/>
          <w:sz w:val="24"/>
          <w:szCs w:val="24"/>
          <w:vertAlign w:val="superscript"/>
        </w:rPr>
        <w:footnoteReference w:id="425"/>
      </w:r>
    </w:p>
    <w:p w14:paraId="2D37F81A"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Tarihsel kırılma noktalarında hatalar yapıldığını kastederek, hataların Ak Parti’ye siyaseten yaradıklarını ve bunların da hata olduğunu dolaylı olarak kabul ettiğini ima etmesini alıntılayan konuşmacı, bu argümanın ardındaki “Ak Parti’nin başarısını kendi iç grubunun hatalarına bağlamak suretiyle küçültmek” niyetine yanıt vermektedir. Verdiği yanıt hem stratejik hem de argümana dayalıdır. “Bu hatalara ortaksınız” anlamına gelecek ifade, “şeref” kavramıyla bir arada verilmiştir. Ayrıca, bir kural ifadesi şeklinde doğruyu yapanın itibarını koruyacağı anlamına gelecek şekilde devamı getirilmiş ve sürekli olarak kastedilen zülmü sürdürdüklerini söylemiştir. Burada herhangi bir imaya başvurulmadan doğrudan muhataba yanıt verildiği görülmektedir. CHP, dik duramayan, kendisi gibi olmayana zulmeden, özgürlük karşıtı, anlayışsız, demokratikleşme karşıtı, katliamcı, baş örtüsünü yasaklayan, komplocu, propagandacı, din karşıtı, sinsi ve anlayışsız nitelemeleriyle özdeşleştirilmektedir. Bu ifadeler, doğrudan aktör tanımlamasıdır ve tanımlama, kutuplaştırma teması üzerine kurulmuştur. Öte yandan, Ak Parti’nin “kendi gündemini oluşturmak için” bu konuları konuştuğuna dair bir iddiaya, karşı gerçeklik sunarak yanıt verilmiştir. Bir diğer dikkat çeken tema, yaptığı aktör tanımlaması karşısındaki duruşunu empati öğesine başvurarak sahiplenmiş, bunu “ödev bildiğini” ve gelecek kuşakları korumak amacıyla sürekli ortaya koyulması gerektiğini belirtmiştir. CHP, kendisine karşı tayakkuzda olunması gerekilen bir tehdit olarak tanımlandığından ve tanımların keskinliği nedeniyle kutuplaşma öğesinin bulunduğunu söylenebilir.</w:t>
      </w:r>
    </w:p>
    <w:p w14:paraId="5735CB72"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“…Dikkatinizi çekiyorum… 1950’ye kadar, yani Adnan Menderes Hükümetine kadar, öğrenciler, tek parti hükümetinin politikalarını desteklemek amacıyla nümayişe sevk edildiler. 1950’den itibaren de, bizzat CHP eliyle, bizzat CHP teşvikiyle, istikrarı bozmak, Hükümeti zora sokmak, sokakları savaş alanına çevirmek için yine öğrenciler tahrik edildi, yine öğrenciler maşa olarak kullanıldı. 1970’lerde, bizzat ben de, benim neslimden bir çok arkadaşım da, kandırılan, kutuplaştırılan, kamplara bölünen o zavallı öğrencileri gördük, onların çatışmalarını bizzat yaşadık. Bakın, Anadolu’dan, köyünden gelmiş, hiç büyük şehir görmemiş, aynı sosyal tabakadan, aynı çevreden, aynı kültürden gelen iki öğrenci… Biri sağcıların eline düşüyor, diğeri solcuların eline düşüyor; ellerine silah veriliyor ve birbirlerini öldürüyorlar. Biz bunların hepsini yaşadık. 12 Eylül sonrasında, Mamak başta olmak üzere, maalesef zindanlarda bir araya gelebilen bu öğrenciler ne büyük yanlış yaptıklarını ancak orada anlayabildiler. Ama ne olaylarda ölenler geri geldi, ne de o zindanlarda yaşanan zulümler telafi </w:t>
      </w:r>
      <w:r w:rsidRPr="00E97E0B">
        <w:rPr>
          <w:rFonts w:ascii="Times New Roman" w:eastAsia="Calibri" w:hAnsi="Times New Roman" w:cs="Times New Roman"/>
          <w:sz w:val="24"/>
          <w:szCs w:val="24"/>
        </w:rPr>
        <w:lastRenderedPageBreak/>
        <w:t>edilebildi. Türkiye’de bu kadar acı olaylar yaşanmışken, bu kadar ağır kayıplar verilmişken, CHP’nin bugün çıkıp tıpkı tarihte yaptığı gibi, şiddeti övmesi, şiddeti teşvik etmesi, bu öğrencilerin sırtını sıvazlaması, çok büyük bir sorumsuzluktur…”</w:t>
      </w:r>
      <w:r w:rsidRPr="00E97E0B">
        <w:rPr>
          <w:rFonts w:ascii="Times New Roman" w:eastAsia="Calibri" w:hAnsi="Times New Roman" w:cs="Times New Roman"/>
          <w:sz w:val="24"/>
          <w:szCs w:val="24"/>
          <w:vertAlign w:val="superscript"/>
        </w:rPr>
        <w:footnoteReference w:id="426"/>
      </w:r>
    </w:p>
    <w:p w14:paraId="45CAB1A0"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Yukarıdaki ifadelerde CHP, hükümeti zora sokmak için sokak gösterileri düzenlemek, şiddet ortamı ve kaos oluşturmak amacıyla hareket eden bir parti olarak konumlandırılmaktadır. Ayrıca, metinde solcularla özdeşleştirdiği CHP için, şiddet ortamı oluşturmaktan bahsederken, çatışma ortamının diğer aktörü hiç anılmamıştır. Yani zımnî olarak devamı olduğu sağcılar için “sağcıların eline düşmek” ifadesi dışında metinde başka ifade yer almamakta ve bu kısım diğerleri gibi uzun uzadıya irdelenmemektedir. Ellerine silah veriliyor ifadesinde, iki tarafın da eline silahı aynı taraf vermediğine göre diğer tarafa kimin verdiği muğlaktır. Burada şiddetin diğer öğesine değinilirken edilgen cümle yapısına başvurulması dikkat çekicidir. </w:t>
      </w:r>
    </w:p>
    <w:p w14:paraId="0C0D1F78"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 kesitte diğer önemli bir ayrıntı, Erdoğan’ın genel konuşma tarzında, CHP’nin resmen iktidar olmadığı dönemlerde bile iktidar gibi hareket edebilecek olarak güçlü olduğu iddiasıyla, mevcut iktidarları devirmek için ülkeyi kaosa sürüklemeyi göze aldığına ilişkin argümanları çelişkili bir görünüm vermektedir. Bu çelişki, gerçekten iktidar olan bir yapı iktidarsa neden iktidarı almak için kaos ortamı yaratmaktadır sorusunu beraberinde getirmektedir. Bu ifade doğrultusunda, kendi kendini baltalamak amacıyla kaos yaratan bir CHP imgesinin ortaya çıktığı anlamına gelmektedir.</w:t>
      </w:r>
    </w:p>
    <w:p w14:paraId="6E7CF7FC"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“…Bugün milliyetçilik diye toplumun önüne konan içe kapanmacı, dünyaya sırt çeviren, evrensel değerleri yok sayan, temel hak ve özgürlükleri yadsıyan, Türkiye’yi çağdaş dünyadan ve kavramlardan koparan ilkel bir ulusalcılıktır. Bu ulusalcılık biçiminin sağı-solu yoktur. İşte onun için diyoruz ki, CHP ile MHP’yi ele geçiren yönetim anlayışları ruh ikizidir. Statükoculuk, inkarcılık, dayatmacılık bu iki partinin de yönetici genlerine işlemiştir. Bunlar sadece hamaset bilirler, kriz üretmeyi bilirler, gerilimden beslenirler, çözümsüzlükten medet umarlar… (Aktör Tanımı)”</w:t>
      </w:r>
      <w:r w:rsidRPr="00E97E0B">
        <w:rPr>
          <w:rFonts w:ascii="Times New Roman" w:eastAsia="Calibri" w:hAnsi="Times New Roman" w:cs="Times New Roman"/>
          <w:sz w:val="24"/>
          <w:szCs w:val="24"/>
          <w:vertAlign w:val="superscript"/>
        </w:rPr>
        <w:footnoteReference w:id="427"/>
      </w:r>
    </w:p>
    <w:p w14:paraId="4B4283FE"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Yukarıdaki kesitte, Erdoğan’ın ulusalcı kanadı dahil ederek ortaya koyduğu aktör tanımlamasının MHP’yi de kapsadığı görülmektedir. Ulusalcılığın, milliyetçiliğin seküler tonlardaki bir versiyonu olduğu düşünüldüğünde, hepsini bir arada alması devamındaki tanımları anlamak bakımından yararlıdır. Sağ ve sol </w:t>
      </w:r>
      <w:r w:rsidRPr="00E97E0B">
        <w:rPr>
          <w:rFonts w:ascii="Times New Roman" w:eastAsia="Calibri" w:hAnsi="Times New Roman" w:cs="Times New Roman"/>
          <w:sz w:val="24"/>
          <w:szCs w:val="24"/>
        </w:rPr>
        <w:lastRenderedPageBreak/>
        <w:t xml:space="preserve">biçiminde konumlandırılmamaları, esasen milliyetçilik düşüncesine oturmasıyla ilgilidir. Türkiye’de sağ ifadesinin dindar muhafazakârlığı içerme eğiliminin burada öne çıktığı görülmektedir. </w:t>
      </w:r>
    </w:p>
    <w:p w14:paraId="51CE9471"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Tüm bu kesit incelemelerinden yola çıkarak, Erdoğan’ın “Ana Muhalefet” olarak nitelendirdiği CHP’yi bir aktör olarak, sorun çıkaran, zarar veren, karşı çıkan ve kötücül nitelikleriyle tanımlamıştır. Tarihte yaşanan olaylara sık sık gönderme yaparak onları tanımlamış, statik ve statükocu bir çizgide gördüğü CHP’yi toplumdan kopuk, iş yapmayan ve sömüren bir siyasi anlayış olarak betimlemiştir. En büyük siyasi rakibi olan CHP’ye eleştiriler, konuşmalarında sıklıkla tek başına yer almakta, bazı konuşmalarda ise diğer iki muhalif parti olan MHP ve BDP ile de bir arada yer verilmektedir. Genelde bu partilerin birbirinin taklidi olduğunu ve karşılarındaki tek alternatifin de kendileri olduğunu savunurken partileri birlikte andığı görülmektedir. </w:t>
      </w:r>
    </w:p>
    <w:p w14:paraId="7D21A5D6"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Burada, kesit incelemeleri ve seçili kesitlerin içerikleri ile bir öteki olarak CHP’nin nasıl konumlandığı anlaşılmaya çalışılmıştır. Ak Parti’nin iktidara en yakın rakibi CHP, ideolojik olarak o dönemde geldiği durum itibariyle, Ak Parti’den en çok laik, sosyal demokrat, Kemalist ve Batıcı yönleriyle ayrılmıştır. Bununla birlikte, esnek de olsa merkeziyetçi ve milliyetçi ve muhafazakâr yanları itibariyle benzediğinden ötürü önemli bir rakip olarak görülmektedir. CHP’nin kastedilen muhafazakârlığı, merkez sağın seçmen tabanına da hitap eden milliyetçi değerleri özümsemiş oluşu ve mevcut devlet düzenini, rejimi ve değerlerini savunuyor olmasıyla alakalıdır. Bu nedenle, Erdoğan ve partisinin söylemsel rekabet açısından üzerinde en yoğun biçimde durduğu parti CHP’dir.    </w:t>
      </w:r>
    </w:p>
    <w:p w14:paraId="0EE40D70" w14:textId="6F8C6978" w:rsidR="002858AE" w:rsidRPr="00E97E0B" w:rsidRDefault="002858AE" w:rsidP="002B7FA9">
      <w:pPr>
        <w:pStyle w:val="Heading3"/>
      </w:pPr>
      <w:bookmarkStart w:id="255" w:name="_Toc141133122"/>
      <w:r w:rsidRPr="00E97E0B">
        <w:t>5.</w:t>
      </w:r>
      <w:r w:rsidR="00207D41" w:rsidRPr="00E97E0B">
        <w:t>3.</w:t>
      </w:r>
      <w:r w:rsidRPr="00E97E0B">
        <w:t>2. Milliyetçi Hareket Partisi (MHP)</w:t>
      </w:r>
      <w:bookmarkEnd w:id="255"/>
    </w:p>
    <w:p w14:paraId="5DE43D8E" w14:textId="77777777" w:rsidR="002858AE" w:rsidRPr="00E97E0B" w:rsidRDefault="002858AE" w:rsidP="002858AE">
      <w:pPr>
        <w:spacing w:before="120" w:after="120" w:line="36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t>Milliyetçi Hareket Partisi (MHP), Alparslan Türkeş tarafından 1969’da kurulan milliyetçi, sağ ve aşırı sağ eğilimli bir partidir. MHP, Türk milliyetçiliği ağır basan, muhafazakâr ve dindar bir parti olarak görülebilir.</w:t>
      </w:r>
      <w:r w:rsidRPr="00E97E0B">
        <w:rPr>
          <w:rFonts w:ascii="Times New Roman" w:eastAsia="Calibri" w:hAnsi="Times New Roman" w:cs="Times New Roman"/>
          <w:sz w:val="24"/>
          <w:szCs w:val="24"/>
          <w:vertAlign w:val="superscript"/>
        </w:rPr>
        <w:footnoteReference w:id="428"/>
      </w:r>
      <w:r w:rsidRPr="00E97E0B">
        <w:rPr>
          <w:rFonts w:ascii="Times New Roman" w:eastAsia="Calibri" w:hAnsi="Times New Roman" w:cs="Times New Roman"/>
          <w:sz w:val="24"/>
          <w:szCs w:val="24"/>
        </w:rPr>
        <w:t xml:space="preserve"> Geçmişte pek çok koalisyonda ve 1973-1977 yıllarında Milliyetçi Cephe Hükümeti’nde yer alan parti, şu anki başkanı Devlet Bahçeli ile 1999’da Demokratik Sol Parti ve Anavatan Partisi ile koalisyon hükümeti kurmuştur. 2018 yılından bu yana, Ak Parti’yle kurduğu Cumhur İttifakı’na </w:t>
      </w:r>
      <w:r w:rsidRPr="00E97E0B">
        <w:rPr>
          <w:rFonts w:ascii="Times New Roman" w:eastAsia="Calibri" w:hAnsi="Times New Roman" w:cs="Times New Roman"/>
          <w:sz w:val="24"/>
          <w:szCs w:val="24"/>
        </w:rPr>
        <w:lastRenderedPageBreak/>
        <w:t>sonradan Büyük Birlik Partisi de dahil olmuştur. Ele alınan yıllarda, Ak Parti iktidarında CHP ile muhalefet saflarında yer alan MHP, Erdoğan’ın karşısındaki en güçlü ikinci partiydi. Milliyetçi tonları ağır basan ve BDP’ye şiddetle karşı olan parti, muhalif saflarda Erdoğan’ın en çok bahsini ettiği dış gruplardan biri konumundaydı.</w:t>
      </w:r>
    </w:p>
    <w:p w14:paraId="181A4F73"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“…Hani milliyetçilikle geçinenler var ya, bunlar milliyetçi filan değil, bunlar ırkçı, ayrımcı, kafatasçı, bunlar milliyetçi değil (Aktör Tanımı) …”</w:t>
      </w:r>
      <w:r w:rsidRPr="00E97E0B">
        <w:rPr>
          <w:rFonts w:ascii="Times New Roman" w:eastAsia="Calibri" w:hAnsi="Times New Roman" w:cs="Times New Roman"/>
          <w:sz w:val="24"/>
          <w:szCs w:val="24"/>
          <w:vertAlign w:val="superscript"/>
        </w:rPr>
        <w:footnoteReference w:id="429"/>
      </w:r>
    </w:p>
    <w:p w14:paraId="4466A09B"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Erdoğan’ın ele alınan dönemdeki ikinci büyük rakibi olan MHP’nin kadro ve ideolojik taban açısından Ak Parti ile çok uzak olmamalarına ve aralarında geçişkenlik olmasına rağmen, aralarında milliyetçilik vurgusu bakımından mevcut farklılıklar burada aktör tanımına yansımaktadır. Özellikle muhalefette olduğunu düşünüldüğünde, MHP’nin bu denli sert bir dille suçlanması şaşırtıcı değildir. Erdoğan’ın onlar olarak konumlandırmış olduğu MHP, hem milliyetçi değil vurgusuyla milliyetçilik özelliği bir kenara koyulmakta hem de onun yerine ırkçı tanımı yakıştırılmaktadır.</w:t>
      </w:r>
    </w:p>
    <w:p w14:paraId="302C2C22"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“…CHP’nin, MHP’nin, onların yandaş medyasının yaptığı bu istismar, BDP’nin Doğu’da, Güneydoğu’da, büyük şehirlerde gençlerin kanı üzerinden yaptığı istismardan hiç ama hiç farklı değildir. (Aktör Tanımlama) Üç tane oy almak için gençleri sokağa döken, ellerine Molotof kokteyli veren, teşvik eden, kışkırtan BDP ne kadar istismarcıysa, bunlar da o kadar istismarcıdırlar. (Aktör Tanımlama)  Ama işte bunların kimliği, kişiliği, tıyneti bu. Hep söyledim, yine söylüyorum. AK Parti zarar görsün de, Türkiye’ye ne olursa olsun... AK Parti kaybetsin de, 1.7 milyon genç ne olursa olsun. AK Parti yıpransın da, gençler ölürse ölsün. Hepsinin de anlayışı işte bundan ibaret. Genç kardeşlerim bu istismarcıları tanısın (Kutuplaştırma)…”</w:t>
      </w:r>
      <w:r w:rsidRPr="00E97E0B">
        <w:rPr>
          <w:rFonts w:ascii="Times New Roman" w:eastAsia="Calibri" w:hAnsi="Times New Roman" w:cs="Times New Roman"/>
          <w:sz w:val="24"/>
          <w:szCs w:val="24"/>
          <w:vertAlign w:val="superscript"/>
        </w:rPr>
        <w:footnoteReference w:id="430"/>
      </w:r>
    </w:p>
    <w:p w14:paraId="29A5D551"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 kesitte, eşitleme ve muhalifleri bir arada ele alma durumundan söz edilebilir. Burada CHP ve MHP “aynı şey” olarak ele alındıktan sonra, BDP de “benzer şey” olarak sınıflandırılmaktadır. BDP üzerinden bir benzetme yapılmasına karşın, ana konu CHP ve MHP olarak belirlenmiştir. Temel ortak özellik olarak ihtiras ve istismar kullanılmıştır. İnsanların ölümüne neden olmak suçlaması da söz konusu istismarın sonucu olarak anlatılmıştır. Konuşmadaki ifadeler doğrultusunda MHP için amaç, Ak Parti’nin kaybetmesi ve bundan fayda sağlamak, araç ise insanların öldürülmesine varan istismardır. Gençler onları tanısın denilerek, seçim tercihlerini doğrudan etkileme amacı güdüldüğü görülmektedir. Bu üç alternatifin birbirine </w:t>
      </w:r>
      <w:r w:rsidRPr="00E97E0B">
        <w:rPr>
          <w:rFonts w:ascii="Times New Roman" w:eastAsia="Calibri" w:hAnsi="Times New Roman" w:cs="Times New Roman"/>
          <w:sz w:val="24"/>
          <w:szCs w:val="24"/>
        </w:rPr>
        <w:lastRenderedPageBreak/>
        <w:t xml:space="preserve">benzemesi ise örtülü olarak tek bir alternatifin kaldığı sonucuna ulaşmaktadır, o da </w:t>
      </w:r>
      <w:r w:rsidRPr="00E97E0B">
        <w:rPr>
          <w:rFonts w:ascii="Times New Roman" w:eastAsia="Calibri" w:hAnsi="Times New Roman" w:cs="Times New Roman"/>
          <w:i/>
          <w:iCs/>
          <w:sz w:val="24"/>
          <w:szCs w:val="24"/>
        </w:rPr>
        <w:t>biz</w:t>
      </w:r>
      <w:r w:rsidRPr="00E97E0B">
        <w:rPr>
          <w:rFonts w:ascii="Times New Roman" w:eastAsia="Calibri" w:hAnsi="Times New Roman" w:cs="Times New Roman"/>
          <w:sz w:val="24"/>
          <w:szCs w:val="24"/>
        </w:rPr>
        <w:t>e dahil olmaktır.</w:t>
      </w:r>
    </w:p>
    <w:p w14:paraId="59F54A68"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“…Terör milli bir mesele olmasına rağmen, siyaset üstü bir mesele olmasına rağmen, ne yazık ki Türkiye’de böyle bir uyum ve koordinasyon gerçekleşmedi. Dün, 24 şehidimizin ardından ortaya çıkan manzarayı hepiniz gördünüz. CHP çıkıyor, “Hükümet istifa etsin” diyerek adeta terör örgütünün eylemini ödüllendirmek istiyor. MHP, her zamanki gibi şehitleri bir fırsat olarak görüyor ve buradan oy devşirme gayretinin içine giriyor. BDP, aymazlığının, vesayetçi siyaset anlayışın bir gereği olarak, net bir tavır almaktan, terörü cesaretle kınamaktan kaçınıyor.”</w:t>
      </w:r>
      <w:r w:rsidRPr="00E97E0B">
        <w:rPr>
          <w:rFonts w:ascii="Times New Roman" w:eastAsia="Calibri" w:hAnsi="Times New Roman" w:cs="Times New Roman"/>
          <w:sz w:val="24"/>
          <w:szCs w:val="24"/>
          <w:vertAlign w:val="superscript"/>
        </w:rPr>
        <w:footnoteReference w:id="431"/>
      </w:r>
    </w:p>
    <w:p w14:paraId="32346AA6"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 kesitte, şehit haberi üzerinden üç partinin tavrına ayrı ayrı değinilmektedir. CHP ve BDP’nin biri hükümeti başarısızlıkla suçladığı diğerinin ise terörü kınamadığı ya da terör olarak nitelendirmediği değerlendirilmektedir. MHP’nin ise şehitleri fırsat olarak gördüğü ve buradan hareketle oy için araçsallaştırdığı şeklinde bir tanım ortaya çıkmaktadır. Burada milliyetçiliğiyle öne çıkan MHP’nin milli bir meselede yanlış tavır aldığı vurgusu yapılmaktadır. Özellikle şehitler konusunda hassasiyeti ile öne çıkan MHP’nin bu eleştiriye hedef olması, diğer iki parti için konuşmacının çizdiği genel imaj düşünüldüğünde ağırlığın MHP’ye verildiği izlenimini uyandırmaktadır.</w:t>
      </w:r>
    </w:p>
    <w:p w14:paraId="1FEC273E"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“…Yabancı Dil Eğitimi ve Öğretimi Kanunu değişiklikleriyle Türk vatandaşlarının günlük yaşamlarında geleneksel olarak kullandıkları farklı dil ve lehçeleri öğrenmelerinin önündeki hukuki engeller kaldırılmıştır. Bu ve buna benzer birçok düzenleme, MHP’nin de içinde olduğu koalisyon tarafından yapılmıştır. Bunlar orada dururken, bu paketlerin altında Sayın Bahçeli’nin imzası orada öyle dururken, bugün attığımız adımlara karşı çıkmak, tutarlılık mıdır, dürüstlük müdür, dik bir duruş mudur? Bu zikzakların Türkiye’ye bir yararı olabilir mi? Bu tutarsızlık siyasete bir şey katar mı, bir seviye kazandırır mı? İşte onun için diyorum ki… Teşkilat olarak da, MHP ve CHP tabanlarını, parti liderlerinden ayrı tutmak, parti liderlerinin tutarsızlığından ayrı değerlendirmek durumundayız… Onlara da hitap edeceğiz… Gerçekleri onlara da anlatacağız… Tutarsızlıkları onların da görmesini sağlayacağız… Biz, tüm bir teşkilat olarak bu tahrikleri, bu provokasyon senaryolarını da bozacağız…”</w:t>
      </w:r>
      <w:r w:rsidRPr="00E97E0B">
        <w:rPr>
          <w:rFonts w:ascii="Times New Roman" w:eastAsia="Calibri" w:hAnsi="Times New Roman" w:cs="Times New Roman"/>
          <w:sz w:val="24"/>
          <w:szCs w:val="24"/>
          <w:vertAlign w:val="superscript"/>
        </w:rPr>
        <w:footnoteReference w:id="432"/>
      </w:r>
    </w:p>
    <w:p w14:paraId="41AA2D32" w14:textId="515BACEE"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MHP’nin Kürtçenin kullanım alanlarının genişletilmesiyle ilgili olarak ve Kürt Açılımı konusundaki olumsuz tavrının eleştirildiği bu kesitte, Erdoğan geçmişte MHP’nin bu konuyu da kapsayacak başkaca kararlarını hatırlatmak suretiyle, tutarsızlık imajı çizmektedir. Bununla birlikte, ifadelerin tonu genel olarak CHP’ye </w:t>
      </w:r>
      <w:r w:rsidRPr="00E97E0B">
        <w:rPr>
          <w:rFonts w:ascii="Times New Roman" w:eastAsia="Calibri" w:hAnsi="Times New Roman" w:cs="Times New Roman"/>
          <w:sz w:val="24"/>
          <w:szCs w:val="24"/>
        </w:rPr>
        <w:lastRenderedPageBreak/>
        <w:t xml:space="preserve">yapılan eleştirilerle kıyaslandığında daha yumuşak ve dikkatlidir. Konuşmada, MHP’yi konumlandırma ve öteki olarak tarif etme amacından ziyade bir ikna etme çabası söz konusudur, zira ifadede MHP’yle başlanmış ve mecliste daha küçük bir parti olmasına rağmen önce MHP sonra CHP sıralanmıştır. Soru formlarının, ironik değil daha çok davet eder tarzda olduğu anlaşılmakta ve devamında da parti liderlerini partiden ayırmaktan bahsedilmektedir. Partilerin liderleriyle olan bağlarını gözardı ederek, ayırma stratejisi, hem taban ile liderleri ayırmak suretiyle, onların tavırlarını etkilemek hem de ikna etmeye çalışmak bakımından değerlendirilebilir. Gerçekleri anlatma söylemi, onların yanlış yolda olduğunu söylese ve onları düzeltme imtiyazını kendine atasa da, iç gruba </w:t>
      </w:r>
      <w:r w:rsidR="00774F2A" w:rsidRPr="00E97E0B">
        <w:rPr>
          <w:rFonts w:ascii="Times New Roman" w:eastAsia="Calibri" w:hAnsi="Times New Roman" w:cs="Times New Roman"/>
          <w:sz w:val="24"/>
          <w:szCs w:val="24"/>
        </w:rPr>
        <w:t>dâhil</w:t>
      </w:r>
      <w:r w:rsidRPr="00E97E0B">
        <w:rPr>
          <w:rFonts w:ascii="Times New Roman" w:eastAsia="Calibri" w:hAnsi="Times New Roman" w:cs="Times New Roman"/>
          <w:sz w:val="24"/>
          <w:szCs w:val="24"/>
        </w:rPr>
        <w:t xml:space="preserve"> olma ihtimallerinin yakın olduğunu kastetmektedir. Diğer yandan, tahrik ve provokasyonları bu durumda kimin yaptığı belirsizdir, çünkü neredeyse tüm aktörler sayıldığı söylenebilir. BDP’nin halihazırda isteyeceği bir düzenlemeden bahsedildiği göz önünde bulundurulduğunda, bu soru ancak belirsiz bir “dış mihrak” ile yanıtlanabilir. Bu durum, aynı zamanda incelenen dönemin dışında kalan sonraki yıllarda, Ak Parti ile MHP’nin ittifak yapmaları düşünüldüğünde, başarıya ulaşan bir stratejinin söylemdeki tezahürü olarak değerlendirilebilir.</w:t>
      </w:r>
    </w:p>
    <w:p w14:paraId="3894AF6E"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“…Milliyetçiyim diyeceksiniz, vakıf eserine sahip çıkmayacaksınız, bize kirli iftiralar atıp, sahip çıktığımız ata yadigarlarını “tabi ki yapacaksınız deyip” hafife alacaksınız. Tarih, size bunu sormaz mı? Samimi milliyetçiler, size bunu sormaz mı? Bu tutarsızlık, bu çelişki, bu zikzaklar karşısında merhum Türkeş’in kemikleri sızlamaz mı?...”</w:t>
      </w:r>
      <w:r w:rsidRPr="00E97E0B">
        <w:rPr>
          <w:rFonts w:ascii="Times New Roman" w:eastAsia="Calibri" w:hAnsi="Times New Roman" w:cs="Times New Roman"/>
          <w:sz w:val="24"/>
          <w:szCs w:val="24"/>
          <w:vertAlign w:val="superscript"/>
        </w:rPr>
        <w:footnoteReference w:id="433"/>
      </w:r>
    </w:p>
    <w:p w14:paraId="3B1AE7C0"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Burada bahsi edilen vakıf eserleriyle ilgili icraat, Türk milliyetçilerinin karakterine son derece uygun ve toplumun neredeyse tüm kesimlerinin sıcak bakabileceği bir kültürel katkıyı ifade etmektedir. Yaptığı bu katkının rakipleri tarafından küçümsenmesine karşı kendini savunarak, rakip MHP’nin milliyetçi tabanının olumlu duygularını kazanmaya yönelik yanıt vermektedir. Bu ifadeleri, milliyetçi tabanın kendisine daha sıcak bakması için verilmiş bir örnek olarak yorumlayabiliriz.  Ayrıca, bu kesitte biraz daha belirgin bir doğrudan hedef alma söz konusudur ve ülkücüler için büyük öneme sahip Türkeş hatırlatması ile duygusal bir gönderme yapılmıştır. Samimi sıfatıyla, milliyetçiler arasında bir ayrıma gidilmiş ve bunun üzerinden MHP dış grubunu iç gruba daha yakın olanlar ve daha az yakın olanlar olarak iki katmana ayrılmıştır. Bu ayrım, bir önceki konuşma metniyle </w:t>
      </w:r>
      <w:r w:rsidRPr="00E97E0B">
        <w:rPr>
          <w:rFonts w:ascii="Times New Roman" w:eastAsia="Calibri" w:hAnsi="Times New Roman" w:cs="Times New Roman"/>
          <w:sz w:val="24"/>
          <w:szCs w:val="24"/>
        </w:rPr>
        <w:lastRenderedPageBreak/>
        <w:t xml:space="preserve">kıyaslandığında, daha sert bir ifadede kendini bulmaktadır ve liderlikle tabanı birbirinden ayırma amacıyla paralel olarak, MHP’yi kendi tarafına çekme ve ikna etme amacı taşımaktadır. Dolayısıyla, CHP hakkında yaptığı konuşmaların genelinde farklı bir sitem tarzı görülmektedir. CHP’ye yönelik yapılan eleştiriler yaygın olarak suçlama ve alay tarzına daha yakınken, MHP’ye yapılan eleştirilerin baskın bir şekilde sitem ve dargınlık havasında olduğu düşünülebilir. Ancak yapılan incelemeler sonucunda, MHP’ye CHP ile bir arada yöneltilen ve kabiliyeti konu eden söylemlerin bu tespite istisna teşkil ettiğini söylenebilir.  Diğer taraftan, ülkücülerin çok değer verdiği Türkeş’i dolaylı olarak saygıyla anması da MHP’ye özünde sıcak baktığı izlenimini vermektedir. Buna benzer bir onurlandırmaya, nadiren doğrudan eleştirdiği ve seyrek de olsa anma yoluyla kendisine karşı pozisyon belirlediği Mustafa Kemal Atatürk’e CHP eleştirilerinde yer vermektedir. Örneğin, çoğunlukla Gazi olarak anmayı tercih ettiği Atatürk’ün hatırasına CHP’nin layık olmadığı şeklinde eleştirileri bulunmaktadır. Bu seyrek övgü ve dolaylı eleştiri, laik ve cumhuriyetçi karakteri nedeniyle mesafeli olduğu Atatürk’e karşı aldığı konumun bir tezahürü olarak yorumlanabilir. </w:t>
      </w:r>
    </w:p>
    <w:p w14:paraId="123993F5"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“…Bakınız, biz bu alanda çok büyük mesafeler kat ettik, inşallah yakın bir zamanda çalıştaylarımız tamamlanınca çok daha büyük bir yol kat etmiş olacağız. Ama anlaşılıyor ki ne CHP ne de MHP bu konudaki çalışmaları dikkatle takip etmiyorlar. Sayın Bahçeli, geçen hafta grup toplantısında, Alevi vatandaşlarımızın sorunlarıyla ilgili atılması gereken adımları sıralamış. Ama ne yazık ki, sıraladığı öneriler somut olmasına karşın, hiçbiri yeni değil, hepsi zaten dönemimizde uygulamaya konan ya da yürümekte olan çalışmalar…”</w:t>
      </w:r>
      <w:r w:rsidRPr="00E97E0B">
        <w:rPr>
          <w:rFonts w:ascii="Times New Roman" w:eastAsia="Calibri" w:hAnsi="Times New Roman" w:cs="Times New Roman"/>
          <w:sz w:val="24"/>
          <w:szCs w:val="24"/>
          <w:vertAlign w:val="superscript"/>
        </w:rPr>
        <w:footnoteReference w:id="434"/>
      </w:r>
    </w:p>
    <w:p w14:paraId="45EDE45D"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CHP, Alevilerin oy vermeyi en çok tercih ettikleri partidir.</w:t>
      </w:r>
      <w:r w:rsidRPr="00E97E0B">
        <w:rPr>
          <w:rFonts w:ascii="Times New Roman" w:eastAsia="Calibri" w:hAnsi="Times New Roman" w:cs="Times New Roman"/>
          <w:sz w:val="24"/>
          <w:szCs w:val="24"/>
          <w:vertAlign w:val="superscript"/>
        </w:rPr>
        <w:footnoteReference w:id="435"/>
      </w:r>
      <w:r w:rsidRPr="00E97E0B">
        <w:rPr>
          <w:rFonts w:ascii="Times New Roman" w:eastAsia="Calibri" w:hAnsi="Times New Roman" w:cs="Times New Roman"/>
          <w:sz w:val="24"/>
          <w:szCs w:val="24"/>
        </w:rPr>
        <w:t xml:space="preserve"> Bununla birlikte Ak Parti iktidarı döneminde Demokratik Açılım çerçevesinde, Alevilerin sorunları hakkında somut sonuçları çok az olsa da çalıştaylar düzenlemiştir. MHP lideri Devlet Bahçeli’nin çözüm önerileri, Erdoğan tarafından somutluğu bakımından takdir edilerek eleştiri almıştır. Bu durum, en büyük muhalefet bloğu olan CHP ve MHP ikilisinin arasındaki konumu bakımında dikkate değer ölçüde farklı mesafeleri benimsediğine dair güzel bir örnektir. Eleştiri, yalnızca söylenenlerin zaten yapıldığı </w:t>
      </w:r>
      <w:r w:rsidRPr="00E97E0B">
        <w:rPr>
          <w:rFonts w:ascii="Times New Roman" w:eastAsia="Calibri" w:hAnsi="Times New Roman" w:cs="Times New Roman"/>
          <w:sz w:val="24"/>
          <w:szCs w:val="24"/>
        </w:rPr>
        <w:lastRenderedPageBreak/>
        <w:t>ya da yapılmakta olduğu ve Ak Parti’nin daha iyi takip edilmesi gerektiğine dair açıklamalarla kısıtlıdır.</w:t>
      </w:r>
    </w:p>
    <w:p w14:paraId="525E8CC4"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“…7 yılda bir yandan enflasyonu dizginleyerek fiyat artışlarını sınırlı seviyede tuttuk, bir yandan da maaşları enflasyonun çok çok üzerinde artırdık. Yani, artan, sadece maaşlar değil, maaşların alım gücü de çok ciddi oranlarda arttı. MHP’lilerin o önlerine dizdikleri ürünleri benim emekli vatandaşım onların iktidarında sadece vitrinde görüyordu… Bugün o ürünlere ulaşabiliyor. Yeterli mi? Elbette hayır…”</w:t>
      </w:r>
      <w:r w:rsidRPr="00E97E0B">
        <w:rPr>
          <w:rFonts w:ascii="Times New Roman" w:eastAsia="Calibri" w:hAnsi="Times New Roman" w:cs="Times New Roman"/>
          <w:sz w:val="24"/>
          <w:szCs w:val="24"/>
          <w:vertAlign w:val="superscript"/>
        </w:rPr>
        <w:footnoteReference w:id="436"/>
      </w:r>
    </w:p>
    <w:p w14:paraId="104B11E6"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MHP’nin icraatlarına ve becerisine yönelik ima ve mesafenin tonu da bu dönemlerde de daha düşüktür. Burada bir kıyaslama mevcuttur, ancak bu kıyaslama partinin tabanına yönelik değerlendirilemez. Enflasyon sorununa ve maaş artışıyla ilgili kendi icraatlarını överek MHP ile kıyaslayan Erdoğan, konuşma içindeki </w:t>
      </w:r>
      <w:r w:rsidRPr="00E97E0B">
        <w:rPr>
          <w:rFonts w:ascii="Times New Roman" w:eastAsia="Calibri" w:hAnsi="Times New Roman" w:cs="Times New Roman"/>
          <w:i/>
          <w:iCs/>
          <w:sz w:val="24"/>
          <w:szCs w:val="24"/>
        </w:rPr>
        <w:t>öteki</w:t>
      </w:r>
      <w:r w:rsidRPr="00E97E0B">
        <w:rPr>
          <w:rFonts w:ascii="Times New Roman" w:eastAsia="Calibri" w:hAnsi="Times New Roman" w:cs="Times New Roman"/>
          <w:sz w:val="24"/>
          <w:szCs w:val="24"/>
        </w:rPr>
        <w:t>si MHP karşısında ölçüyü koruma gayretini de hissettirmektedir. Zira, cümlesinin sonunda “yeterli mi, elbette hayır” diyerek, hem vatandaşa hizmet konusunda motivasyon belirtisi göstermek hem de dahasını yapacağına dair bir sinyal vermek istemiş gibi görünmektedir.</w:t>
      </w:r>
    </w:p>
    <w:p w14:paraId="2AFA5E1A"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MHP incelenen dönemde Ak Parti’nin muhalifidir ve bu çerçevede, yakın bir </w:t>
      </w:r>
      <w:r w:rsidRPr="00E97E0B">
        <w:rPr>
          <w:rFonts w:ascii="Times New Roman" w:eastAsia="Calibri" w:hAnsi="Times New Roman" w:cs="Times New Roman"/>
          <w:i/>
          <w:iCs/>
          <w:sz w:val="24"/>
          <w:szCs w:val="24"/>
        </w:rPr>
        <w:t>öteki</w:t>
      </w:r>
      <w:r w:rsidRPr="00E97E0B">
        <w:rPr>
          <w:rFonts w:ascii="Times New Roman" w:eastAsia="Calibri" w:hAnsi="Times New Roman" w:cs="Times New Roman"/>
          <w:sz w:val="24"/>
          <w:szCs w:val="24"/>
        </w:rPr>
        <w:t xml:space="preserve"> olmakla birlikte, biz grubuna dahil değildir. Bu ayrımı yapmak, konuşmayı incelerken katkı sağlamaktadır. “MHP’liler” ifadesi ile benim “emekli vatandaşım” ifadeleri, aynı cümle içinde birbirinin yerine gelecek şekilde kullanılmaktadır. Önlerinde bolluk olduğundan bahsettiği iki grup ayrı ayrı anılmaktadır. “MHP’liler” “MHP’li vatandaşım” değilken, bu nötrlük genel olarak emeklilerden bahsedilirken iyelik ekiyle değişmiştir. Burada aynı cümle içinde bir gruptan diğerine geçiş yapılmıştır ve iki gruptan biri diğerini kapsayacak anlamda kullanılmıştır, çünkü dolaylı olarak, burada memnun olmamasından sitem ettiği MHP’liler, kaçınılmaz olarak emeklilerin belli bir kısmını oluşturmaktadır.</w:t>
      </w:r>
    </w:p>
    <w:p w14:paraId="61F8D21A"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“…Bugün milliyetçilik diye toplumun önüne konan içe kapanmacı, dünyaya sırt çeviren, evrensel değerleri yok sayan, temel hak ve özgürlükleri yadsıyan, Türkiye’yi çağdaş dünyadan ve kavramlardan koparan ilkel bir ulusalcılıktır. Bu ulusalcılık biçiminin sağı-solu yoktur. İşte onun için diyoruz ki, CHP ile MHP’yi ele geçiren yönetim anlayışları ruh ikizidir. Statükoculuk, inkarcılık, dayatmacılık bu iki partinin de yönetici genlerine işlemiştir. Bunlar sadece hamaset bilirler, kriz üretmeyi bilirler, gerilimden beslenirler, çözümsüzlükten medet umarlar…”</w:t>
      </w:r>
      <w:r w:rsidRPr="00E97E0B">
        <w:rPr>
          <w:rFonts w:ascii="Times New Roman" w:eastAsia="Calibri" w:hAnsi="Times New Roman" w:cs="Times New Roman"/>
          <w:sz w:val="24"/>
          <w:szCs w:val="24"/>
          <w:vertAlign w:val="superscript"/>
        </w:rPr>
        <w:footnoteReference w:id="437"/>
      </w:r>
    </w:p>
    <w:p w14:paraId="21A1144D"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CHP ile ilgili bölümde de alıntılanmış olan bu kesit, aynı zamanda MHP’yi de kapsayan bir eleştiridir. Burada, MHP de statükocu, çözüme kapalı, dayatmacı ve sorun yaratan bir çerçevede tasvir edilmektedir. Ayrıca, sorunun işlerine geldiği anlamı da mevcuttur. Bu ifade, Erdoğan’ın bu iki partiyi nasıl gördüğüne dair genel bilgi verici niteliktedir denilebilir. Ancak MHP’nin yönetim anlayışlarını, partinin kendisine ve tabanına nazaran daha fazla eleştiri odağına oturttuğunu da düşünülebilir, çünkü “yönetici genlerine işlemiş” olan bu olumsuz özelliklerin tabanın ya da hangi partilerin tabanının bir özellikleri olduğu kısmı muğlak bırakılmıştır. İfadeyi olduğu haliyle esas alarak, sadece yönetime sinmiş olan bir sorun olduğu şeklinde algıladığı yorumu çerçevesinde, meselenin daha çok yönetimsel olduğu gibi bir tanım yapıldığı anlaşılmaktadır.</w:t>
      </w:r>
    </w:p>
    <w:p w14:paraId="3B94942E"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“…CHP bu işçi kardeşlerimi istismar ediyor, MHP istismar ediyor. 1992- 2003 arasında bu ülkede CHP de MHP de iktidar ortağı oldular. Onların döneminde özelleştirme sonucu insanlar işinden oldu… (Ötekini Kötü Gösterme, Ders Olarak Tarih) …Oradaki işçi kardeşlerime tekrar söylüyorum: Kullanılıyorsunuz… (Durum Kavramsallaştırması) … 3 milyonu aşkın işsizin vebali var… … Burada oynanan oyunu iyi görmemiz gerekiyor değerli arkadaşlarım. Buradaki olay, hak arayışı içinde, masum talepler peşinde bir işçi eylemi olmaktan çıkmış, hükümete karşı yeni bir senaryonun parçası olmuştur (Karşı Gerçeklik) …”</w:t>
      </w:r>
      <w:r w:rsidRPr="00E97E0B">
        <w:rPr>
          <w:rFonts w:ascii="Times New Roman" w:eastAsia="Calibri" w:hAnsi="Times New Roman" w:cs="Times New Roman"/>
          <w:sz w:val="24"/>
          <w:szCs w:val="24"/>
          <w:vertAlign w:val="superscript"/>
        </w:rPr>
        <w:footnoteReference w:id="438"/>
      </w:r>
    </w:p>
    <w:p w14:paraId="4E058A1E"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Burada kesitin bazı parçalarının çıkarılarak parçalı verilmiş olma nedeni, genel olarak anahtar ifadelerin dikkate alınması gerektiğinden ve geriye kalan kısmın anlam bütünlüğünü etkilememesindendir. Çalışmanın genelinde parçalı olarak verilmiş olan tüm metinler için bu geçerlidir. Dolayısıyla, farklı bir anlam çıkaran değil; yalnızca anlam bütünlüğü açısından incelemeye katkı sunmayacak kısımlar çıkarılmış ve çıkarılan kısımlar da burada olduğu gibi belirtilmiştir. Tekel İşçilerinin hak talepleriyle ilgili olarak yaptığı konuşmada, eski başbakan, CHP ile MHP’yi istismar eden olarak tanımlamaktadır. Bu söylemde, istismar edilen konumunda işçiler, istismar eden konumunda CHP ve MHP bulunmaktadır. “İstismarcı CHP ve MHP”’nin ayrı ayrı hükümet ortaklıkları dönemlerinde özelleştirme uygulaması ile insanların işsiz kalmalarından hatırlatma amacıyla bahsedilmektedir. Ders olarak geçmişe başvurulan ifadede, asıl meselenin tartışma odağı kaydırılarak geçmişte ne olduğuna dikkat çekilmektedir. Ardından gelen ifade, istismarın başka bir kelimeyle ifadesi olan kullanmak ile sürdürülmektedir. Burada geçmişe dair bir bilginin hatırlatma olarak </w:t>
      </w:r>
      <w:r w:rsidRPr="00E97E0B">
        <w:rPr>
          <w:rFonts w:ascii="Times New Roman" w:eastAsia="Calibri" w:hAnsi="Times New Roman" w:cs="Times New Roman"/>
          <w:sz w:val="24"/>
          <w:szCs w:val="24"/>
        </w:rPr>
        <w:lastRenderedPageBreak/>
        <w:t xml:space="preserve">kullanılmayı doğrulamak için kullanıldığı düşünülebilir. Durum kavramsallaştırması, kendisine yöneltilen bir suçlamayı karşı tarafa aynı konuda başka bir suçlama yöneltmek suretiyle bertaraf etme amaçlı kullanılmakta ve bir çeşit </w:t>
      </w:r>
      <w:r w:rsidRPr="00E97E0B">
        <w:rPr>
          <w:rFonts w:ascii="Times New Roman" w:eastAsia="Calibri" w:hAnsi="Times New Roman" w:cs="Times New Roman"/>
          <w:i/>
          <w:iCs/>
          <w:sz w:val="24"/>
          <w:szCs w:val="24"/>
        </w:rPr>
        <w:t>ad hominem</w:t>
      </w:r>
      <w:r w:rsidRPr="00E97E0B">
        <w:rPr>
          <w:rFonts w:ascii="Times New Roman" w:eastAsia="Calibri" w:hAnsi="Times New Roman" w:cs="Times New Roman"/>
          <w:sz w:val="24"/>
          <w:szCs w:val="24"/>
        </w:rPr>
        <w:t xml:space="preserve"> argümanına başvurulmaktadır. </w:t>
      </w:r>
    </w:p>
    <w:p w14:paraId="45907FD5"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Konunun odak noktasını o konuyu tartışmadan geçmek için bundan sonra yeni bir karşı gerçeklik unsuru ile meseleye yaklaşan konuşmacı, hak talebinin masum talep sınırını ihlal ettiğini söyleyerek, bunun bir hükümet karşıtı anlam kazandığını ifade etmektedir. Buradaki mesele, talebin haklı veya haksız olması değildir, yalnızca talebin vardığı noktaya değinilmektedir. Kullanılan masum talep ifadesi, bir talebin masumiyetinin haklı veya haksız olmasıyla değil, hükümete karşı olup olmamasıyla ölçmek gibi bir anlama gelmektedir ki bu, konuşmacının meseleye siyaset odaklı baktığını düşündürmektedir. Bu söylem tarzı, pek çok toplumsal mesele söz konusu olduğunda tekrar edildiğinden, bu örneğin söylem tarzını anlamak bakımından faydalı olduğu düşünülmektedir.</w:t>
      </w:r>
    </w:p>
    <w:p w14:paraId="5384ED89" w14:textId="77777777"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“…Bunu benim milletime yaşattılar. Kim yaşattı? MHP-DSP-ANAP. Benim ülkemin Merkez Bankası’nı bu yolla adeta yağmaladılar. Benim ülkemin emeğini, ekmeğini bu yolla hortumladılar. Milli servetimiz, milli kaynaklarımız, basiretsiz yöneticilerin ürettikleri kriz sebebiyle yok olup gitti...”</w:t>
      </w:r>
      <w:r w:rsidRPr="00E97E0B">
        <w:rPr>
          <w:rFonts w:ascii="Times New Roman" w:eastAsia="Calibri" w:hAnsi="Times New Roman" w:cs="Times New Roman"/>
          <w:sz w:val="24"/>
          <w:szCs w:val="24"/>
          <w:vertAlign w:val="superscript"/>
        </w:rPr>
        <w:footnoteReference w:id="439"/>
      </w:r>
    </w:p>
    <w:p w14:paraId="2D9994D6"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 kesit, bir önceki örneğin benzeri olmakla birlikte, daha yüksek bir tonla ifade edilmiştir, ancak bir önemli nokta da burada, MHP –her ne kadar DSP, CHP’nin bir benzeri olarak görülse de- CHP’siz bir koalisyonda anılmış ve bu sefer yolsuzluk iddiası ile itham edilmiştir. Bu itham, Bahçeli’nin de Erdoğan’a yönelttiği yolsuzluk suçlamalarına bir çeşit misilleme olarak görülmektedir. Nitekim siyasilerden biri diğerini tenkit ettiğinde diğerinin de ona başka tenkit ile karşılık verdiği sık görülen bir durumdur. </w:t>
      </w:r>
    </w:p>
    <w:p w14:paraId="77EF9714"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MHP ve Genel Başkanı Bahçeli siyasette, Ak Parti, Erdoğan ile Türk siyasal hayatına girdiğinden beri kesintisiz olarak yer almıştır. İncelenen periyot dahil olmak üzere, MHP, uzun bir süredir muhalefet olarak mecliste ve siyasette yer almıştır. Bu süre içinde sağ ve aşırı sağ bir siyaset çizgisinde muhalefetini sürdüren MHP, Erdoğan ve partisi açısından uzun bir süre öteki olsa dahi pek çok kritik siyasi kararda destek de vermiştir. Nitekim MHP ile Ak Parti’nin ittifakı daha sonraları Ak Parti’nin Kürt </w:t>
      </w:r>
      <w:r w:rsidRPr="00E97E0B">
        <w:rPr>
          <w:rFonts w:ascii="Times New Roman" w:eastAsia="Calibri" w:hAnsi="Times New Roman" w:cs="Times New Roman"/>
          <w:sz w:val="24"/>
          <w:szCs w:val="24"/>
        </w:rPr>
        <w:lastRenderedPageBreak/>
        <w:t>sorunuyla ilgili tavır ve politika değişiklikleriyle önemli ölçüde paralel ilerlemiştir. Siyasi eğilimleri bakımından çok uzak olmayan bu iki parti ve liderleri arasındaki karşılıklı eleştirilerin konu kapsamındaki göreli sınırlılık ve şiddetindeki ılımlılık mevcut diğer iki temel öteki aktörle kıyaslandığında oldukça ılımlı görünmektedir. MHP, ironiye çok daha az hedef olmuş ve daha ziyade kabiliyet, liderlik ve aldığı menfi tavır noktalarında eleştiri almıştır. Erdoğan’ın incelendiği dönemdeki söylemleri, genel görünüm olarak MHP’yi yakınlaşma potansiyeli olmakla birlikte dış grupta konumlandırma şeklindedir. Bu bağlamda, 2007-2011 döneminde Erdoğan’ın konumlandırması açısında MHP en yakın ve muhtemel müttefik olabilecek bir ötekidir.</w:t>
      </w:r>
    </w:p>
    <w:p w14:paraId="3D83C317" w14:textId="5C0D7895" w:rsidR="002858AE" w:rsidRPr="00E97E0B" w:rsidRDefault="002858AE" w:rsidP="002B7FA9">
      <w:pPr>
        <w:pStyle w:val="Heading3"/>
      </w:pPr>
      <w:bookmarkStart w:id="256" w:name="_Toc115640255"/>
      <w:bookmarkStart w:id="257" w:name="_Toc141133123"/>
      <w:r w:rsidRPr="00E97E0B">
        <w:t>5.3.</w:t>
      </w:r>
      <w:r w:rsidR="00207D41" w:rsidRPr="00E97E0B">
        <w:t>3</w:t>
      </w:r>
      <w:r w:rsidRPr="00E97E0B">
        <w:t xml:space="preserve"> </w:t>
      </w:r>
      <w:bookmarkEnd w:id="256"/>
      <w:r w:rsidRPr="00E97E0B">
        <w:t>Demokratik Toplum Partisi (DTP), Barış ve Demokrasi Partisi (BDP) ve Halkların Demokratik Partisi (HDP)</w:t>
      </w:r>
      <w:bookmarkEnd w:id="257"/>
    </w:p>
    <w:p w14:paraId="02E027B2"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Demokratik Toplum Partisi (DTP) ve Barış ve Demokrasi Partisi (BDP), 2007-2011 dönemindeki Kürt siyasi hareketinin DEHAP’tan sonraki partileridir. BDP, 2011’de sosyalist partiler, sendikalar, kadın, LGBT ve çevre hareketleri, bazı STK’lar, bazı dini azınlık temsilcileri ve aşırı sol grupların BDP ile aynı çatıda birleşmesiyle oluşan Halkların Demokratik Kongresi’nin (HDK) partileşmesiyle 2012’de kurulmuş ve devamında ise 2012’de Halkların Demokratik Partisi kurulmuştur. Erdoğan’ın öteki söyleminin önemli bir diğer yüzünü oluşturan BDP, Kürt sorunu ve özellikle terör sorunuyla ilişkili olarak, Ak Parti ile çatışıyor bile olsa, Kürt sorunuyla ilgili başlatılan süreçteki temel aktörlerden biridir. Bu nedenle, Erdoğan’ın söylemlerindeki dış grup olma özelliği bakımından öne çıkmaktadır. </w:t>
      </w:r>
    </w:p>
    <w:p w14:paraId="6C5F7F13" w14:textId="77777777" w:rsidR="002858AE" w:rsidRPr="00E97E0B" w:rsidRDefault="002858AE" w:rsidP="002858AE">
      <w:pPr>
        <w:spacing w:before="120" w:after="120" w:line="240" w:lineRule="auto"/>
        <w:jc w:val="both"/>
        <w:rPr>
          <w:rFonts w:ascii="Times New Roman" w:eastAsia="Calibri" w:hAnsi="Times New Roman" w:cs="Times New Roman"/>
          <w:bCs/>
          <w:iCs/>
          <w:sz w:val="24"/>
          <w:szCs w:val="24"/>
        </w:rPr>
      </w:pPr>
      <w:r w:rsidRPr="00E97E0B">
        <w:rPr>
          <w:rFonts w:ascii="Times New Roman" w:eastAsia="Calibri" w:hAnsi="Times New Roman" w:cs="Times New Roman"/>
          <w:bCs/>
          <w:iCs/>
          <w:sz w:val="24"/>
          <w:szCs w:val="24"/>
        </w:rPr>
        <w:t>“…Bu terör örgütü ve onun siyasi uzantısı, bunlar Kürtlerin dini Zerdüştlüktür diyerek Kürt kardeşlerimin imanını sorgulayacak kadar gözleri dönmüş durumdadır… (Aktör Tanımı, Durum Kavramsallaştırması, Ötekini Kötü Gösterme, Kutuplaştırma)”</w:t>
      </w:r>
      <w:r w:rsidRPr="00E97E0B">
        <w:rPr>
          <w:rFonts w:ascii="Times New Roman" w:eastAsia="Calibri" w:hAnsi="Times New Roman" w:cs="Times New Roman"/>
          <w:bCs/>
          <w:iCs/>
          <w:sz w:val="24"/>
          <w:szCs w:val="24"/>
          <w:vertAlign w:val="superscript"/>
        </w:rPr>
        <w:footnoteReference w:id="440"/>
      </w:r>
    </w:p>
    <w:p w14:paraId="269AEA93"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 ifade, Kürt siyasal hareketinin özellikle seküler kanadı olan HADEP, DTP, BDP’ye verdiği öteki konumunu başarılı bir şekilde yansıtmaktadır. Terör örgütünün siyasi uzantı olarak tanımlanan BDP, Kürt toplumunun hayatına ve inançlarına yön </w:t>
      </w:r>
      <w:r w:rsidRPr="00E97E0B">
        <w:rPr>
          <w:rFonts w:ascii="Times New Roman" w:eastAsia="Calibri" w:hAnsi="Times New Roman" w:cs="Times New Roman"/>
          <w:sz w:val="24"/>
          <w:szCs w:val="24"/>
        </w:rPr>
        <w:lastRenderedPageBreak/>
        <w:t>vermeye çalışan, onları Türkiye toplumunun çoğunluğunun inancı olan Sünni İslam’dan, hatta İslam’dan koparmaya çalışan, inatçı ve gayrımeşru bir yapı olarak tanımlanmaktadır. Ayrıca, konuşmada yalnızca ideolojik gayrımeşruluk anlamı yüklenmemekte, terör örgütünün uzantısı olarak tanımlamak suretiyle hukuken de kabul edilemez olma sınırına yaklaştırılmaktadır. Gözü dönmüş mecazı ile saldırganlık ve tehlike çağrışımı yapılmakta ve mesajın muhatabı tehlikeye karşı uyarılarak kutuplaştırıcı bir söyleme başvurulmaktadır.  Bu kutuplaştırma, ilk olarak “Kürt kardeşim” şeklinde seslenilen Kürt kimliğini taşıyanları uyarmak, sonra da tüm dinleyicileri uyarmak gibi bir işlev görmektedir. Zira Kürtlerin dini aidiyet ve inanç meselelerinin hassas bir tartışma konusu olması da buradaki tehlike uyarısının etkisini güçlendirmektedir.</w:t>
      </w:r>
    </w:p>
    <w:p w14:paraId="2025DEBF" w14:textId="77777777" w:rsidR="002858AE" w:rsidRPr="00E97E0B" w:rsidRDefault="002858AE" w:rsidP="002858AE">
      <w:pPr>
        <w:spacing w:before="120" w:after="120" w:line="240" w:lineRule="auto"/>
        <w:jc w:val="both"/>
        <w:rPr>
          <w:rFonts w:ascii="Times New Roman" w:eastAsia="Calibri" w:hAnsi="Times New Roman" w:cs="Times New Roman"/>
          <w:bCs/>
          <w:iCs/>
          <w:sz w:val="24"/>
          <w:szCs w:val="24"/>
        </w:rPr>
      </w:pPr>
      <w:r w:rsidRPr="00E97E0B">
        <w:rPr>
          <w:rFonts w:ascii="Times New Roman" w:eastAsia="Calibri" w:hAnsi="Times New Roman" w:cs="Times New Roman"/>
          <w:bCs/>
          <w:iCs/>
          <w:sz w:val="24"/>
          <w:szCs w:val="24"/>
        </w:rPr>
        <w:t>“…Zaten bunu benim Doğu'daki Güneydoğu'daki kardeşim de çok iyi bildiği, gördüğü için AK Parti'yi bölgenin birinci partisi yaptı.</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bCs/>
          <w:iCs/>
          <w:sz w:val="24"/>
          <w:szCs w:val="24"/>
        </w:rPr>
        <w:t>(Kanı Birliği, Otorite, Genelleştirme, Kanıtsallık, Sayı Oyunu) Şu anda bölücü terör örgütünün korkusu altında, tehdidi altında eğer siyasi uzantısı partiye oy veriliyorsa bu gerçek demokrasinin gereği bir netice değildir. Bu, oluşturulmuş bir korku toplumunun neticesi alınmış oylardır. Bu çözüldüğü anda inanın en az yüzde 50 aşağı olur… (Sayı Oyunu)”</w:t>
      </w:r>
      <w:r w:rsidRPr="00E97E0B">
        <w:rPr>
          <w:rFonts w:ascii="Times New Roman" w:eastAsia="Calibri" w:hAnsi="Times New Roman" w:cs="Times New Roman"/>
          <w:bCs/>
          <w:iCs/>
          <w:sz w:val="24"/>
          <w:szCs w:val="24"/>
          <w:vertAlign w:val="superscript"/>
        </w:rPr>
        <w:footnoteReference w:id="441"/>
      </w:r>
      <w:r w:rsidRPr="00E97E0B">
        <w:rPr>
          <w:rFonts w:ascii="Times New Roman" w:eastAsia="Calibri" w:hAnsi="Times New Roman" w:cs="Times New Roman"/>
          <w:bCs/>
          <w:iCs/>
          <w:sz w:val="24"/>
          <w:szCs w:val="24"/>
        </w:rPr>
        <w:t xml:space="preserve"> </w:t>
      </w:r>
    </w:p>
    <w:p w14:paraId="67DF1AF4"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Konuşmacı, Ak Parti’nin, söz konusu 2011 seçimlerinde bölgenin en çok oy alan partisi (Güneydoğu Anadolu’da toplam oyların %52,1’i, Doğu Anadolu’da %56,4’ü) olduğunu belirtirken, bölgede ikinci gelen HDP’den (Güneydoğu Anadolu’da toplam oyların %35,1’i, Doğu Anadolu’da %24,5’i) daha fazla oy almayı kastetmektedir.</w:t>
      </w:r>
      <w:r w:rsidRPr="00E97E0B">
        <w:rPr>
          <w:rFonts w:ascii="Times New Roman" w:eastAsia="Calibri" w:hAnsi="Times New Roman" w:cs="Times New Roman"/>
          <w:sz w:val="24"/>
          <w:szCs w:val="24"/>
          <w:vertAlign w:val="superscript"/>
        </w:rPr>
        <w:footnoteReference w:id="442"/>
      </w:r>
      <w:r w:rsidRPr="00E97E0B">
        <w:rPr>
          <w:rFonts w:ascii="Times New Roman" w:eastAsia="Calibri" w:hAnsi="Times New Roman" w:cs="Times New Roman"/>
          <w:sz w:val="24"/>
          <w:szCs w:val="24"/>
        </w:rPr>
        <w:t xml:space="preserve"> Bununla birlikte, bölgenin ikinci büyük partisine karşıtlık kurmak amacıyla kullanılan bu ifade, aradaki farka vurgu yaparak, önemli bir alternatif tercihi gözardı etmektedir. Dolayısıyla başvurulan kanı birliği ve otorite teması üzerinden bir bütün olarak bölge halkının “bunu bildiği” söylemi de temelden sorunlu hale gelmektedir. Bu aynı zamanda bir kanıtsallık ve genelleştirme söylemi ihtiva eder ve tamamı sayı oyununa dayandığından zayıf bir hale gelmektedir. Daha sonrasında, bir varsayıma dayalı bir oy oranı hesabı yapılmaktadır, zira konuşmacının kendisi bile bu böyledir dememektedir. Bu varsayım, bölgenin gerçeğini yansıtsa da verilen sayı keyfidir ve herhangi bir hesaba dayandığını düşünmek için bir neden </w:t>
      </w:r>
      <w:r w:rsidRPr="00E97E0B">
        <w:rPr>
          <w:rFonts w:ascii="Times New Roman" w:eastAsia="Calibri" w:hAnsi="Times New Roman" w:cs="Times New Roman"/>
          <w:sz w:val="24"/>
          <w:szCs w:val="24"/>
        </w:rPr>
        <w:lastRenderedPageBreak/>
        <w:t xml:space="preserve">bulunmamaktadır. Bu hesap, toplumu ve özellikle de Kürt olmayanları ikna etmeye yönelik bir retorik olarak değerlendirilmeye müsaittir. </w:t>
      </w:r>
    </w:p>
    <w:p w14:paraId="7519ED1C"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Burada argümanlar vasıtasıyla varılmaya çalışılan bir diğer sonuç ise –ki bu her ne kadar bir varsayım olarak ifade edilmiş de olsa- BDP’nin terör örgütünün varlığı sayesinde oylarını yükselttiğidir. Bu da tanımlanan aktörün terörden beslenen bir parti olduğu anlamına gelmektedir.</w:t>
      </w:r>
    </w:p>
    <w:p w14:paraId="7EAA4FA4" w14:textId="77777777" w:rsidR="002858AE" w:rsidRPr="00E97E0B" w:rsidRDefault="002858AE" w:rsidP="002858AE">
      <w:pPr>
        <w:spacing w:before="120" w:after="120" w:line="240" w:lineRule="auto"/>
        <w:jc w:val="both"/>
        <w:rPr>
          <w:rFonts w:ascii="Times New Roman" w:eastAsia="Calibri" w:hAnsi="Times New Roman" w:cs="Times New Roman"/>
          <w:bCs/>
          <w:iCs/>
          <w:sz w:val="24"/>
          <w:szCs w:val="24"/>
        </w:rPr>
      </w:pPr>
      <w:r w:rsidRPr="00E97E0B">
        <w:rPr>
          <w:rFonts w:ascii="Times New Roman" w:eastAsia="Calibri" w:hAnsi="Times New Roman" w:cs="Times New Roman"/>
          <w:bCs/>
          <w:iCs/>
          <w:sz w:val="24"/>
          <w:szCs w:val="24"/>
        </w:rPr>
        <w:t>“…Aynı şekilde terör örgütünün güdümünde olan parti de karşısındakini demokrasi içerisinde yarışılması gereken bir rakip olarak konumlandırmak yerine düşman olarak görüyor. Terör örgütünün diğer partileri bertaraf etmesinden medet umuyor. İmralı'nın ağzı ile konuşuyor. Terörün, terör örgütünün iktidar üzerinde etkili olduğunu gören muhalefet partileri kendilerinin yıpratamadığı iktidarı terör örgütünün yıpratmasına göz yumdular hatta buna açık açık çanak tuttular. Şu anda da aynı denklem işletilmeye çalışılıyor. Birileri terör örgütünün Türkiye'nin iç ve dış siyasetinde etkin olması etkin olması için de elinden gelen her şeyi yapıyor…”</w:t>
      </w:r>
      <w:r w:rsidRPr="00E97E0B">
        <w:rPr>
          <w:rFonts w:ascii="Times New Roman" w:eastAsia="Calibri" w:hAnsi="Times New Roman" w:cs="Times New Roman"/>
          <w:bCs/>
          <w:iCs/>
          <w:sz w:val="24"/>
          <w:szCs w:val="24"/>
          <w:vertAlign w:val="superscript"/>
        </w:rPr>
        <w:footnoteReference w:id="443"/>
      </w:r>
    </w:p>
    <w:p w14:paraId="66BE4C2C"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 kesit çoğu açıdan söylem analizi nesnesinden çok, siyasi bir aktörün bir diğer aktörü analizi niteliğindedir. Bu analiz, ağırlıklı olarak bir aktör tanımlaması ve durum kavramsallaştırmasından ibaret olmakla birlikte Erdoğan’ın o dönemki öteki konumlandırmasını açık bir şekilde vermektedir. Ancak, BDP’nin Ak Parti’yi düşman olarak gördüğü kastı, meselenin simetrik boyutuna da işaret etme potansiyelini taşımaktadır ve konuşmacının karşısındaki aktör hakkındaki düşüncelerini ya yansıtıyordur ya da etkilemiştir. Bu aynı zamanda BDP’nin Erdoğan’ın penceresinden ne kadar uzak bir dış gruba tekabül ettiğini göstermektedir. Analizin kendisi, siyasal alandaki mücadelenin de bir tezahürü olarak görülebilir, ancak söylem bağlamında ilgilendiren kısmı muhalefetin teröre karşı iktidarla dayanışma içinde hareket etmediği düşüncesidir. Buna göre, muhalefet partileri terörün güçlenmesinden rahatsız olmamaktadırlar. Partilerden kasıt, diğer iki parti olan CHP ve MHP olduğuna göre, bu partilerin BDP ile sıklıkla aynı safta olduğu fikri tekrarlanmaktadır. Burada iktidar tarafında ise muhalefetin kendisine zarar verebildiği gibi bir kabul ve kanının var olduğu düşünülebilir. Diğer taraftan, toplumu muhalefet dahil iç ve dış her türlü tehlikeye karşı teyakkuzda olma konusunda bir duyguya itebilecek bir tasvir söz konusudur.</w:t>
      </w:r>
    </w:p>
    <w:p w14:paraId="2D7D2F18" w14:textId="77777777" w:rsidR="002858AE" w:rsidRPr="00E97E0B" w:rsidRDefault="002858AE" w:rsidP="002858AE">
      <w:pPr>
        <w:spacing w:before="120" w:after="120" w:line="240" w:lineRule="auto"/>
        <w:jc w:val="both"/>
        <w:rPr>
          <w:rFonts w:ascii="Times New Roman" w:eastAsia="Calibri" w:hAnsi="Times New Roman" w:cs="Times New Roman"/>
          <w:bCs/>
          <w:iCs/>
          <w:sz w:val="24"/>
          <w:szCs w:val="24"/>
        </w:rPr>
      </w:pPr>
      <w:r w:rsidRPr="00E97E0B">
        <w:rPr>
          <w:rFonts w:ascii="Times New Roman" w:eastAsia="Calibri" w:hAnsi="Times New Roman" w:cs="Times New Roman"/>
          <w:bCs/>
          <w:iCs/>
          <w:sz w:val="24"/>
          <w:szCs w:val="24"/>
        </w:rPr>
        <w:t>“…MHP Genel Başkanı’nın, CHP Genel Başkanı’nın, BDP’lilerin, öfke ve nefret dili, kışkırtıcı üslupları, hakaret ve tahrikleri, maalesef bu tür olaylara zemin hazırlamıştır. Biz bu şiddet tuzağına asla düşmeyiz ve düşmeyeceğiz.</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bCs/>
          <w:iCs/>
          <w:sz w:val="24"/>
          <w:szCs w:val="24"/>
        </w:rPr>
        <w:t xml:space="preserve">(Kutuplaştırma) Bugüne kadar </w:t>
      </w:r>
      <w:r w:rsidRPr="00E97E0B">
        <w:rPr>
          <w:rFonts w:ascii="Times New Roman" w:eastAsia="Calibri" w:hAnsi="Times New Roman" w:cs="Times New Roman"/>
          <w:bCs/>
          <w:iCs/>
          <w:sz w:val="24"/>
          <w:szCs w:val="24"/>
        </w:rPr>
        <w:lastRenderedPageBreak/>
        <w:t>sabırla, metanetle, sağduyuyla hareket ettik, aynı şekilde hareket etmeye devam edeceğiz. Biz, ülkeyi kaosa sürüklemek için elinden geleni yapan, CHP-MHP-BDP ittifakına karşı, millet iradesini var gücümüzle savunmaya devam edeceğiz. Söz, karar, yetki milletindir. Son sözü millet sandıkta söyleyecektir. Sandığa giden yolu biz, şiddet, öfke ve nefret taşlarıyla kirletmeyecek, sabır, sağduyu, hoşgörü ilmikleriyle örmeye devam edeceğiz (Kardeşlik)…”</w:t>
      </w:r>
      <w:r w:rsidRPr="00E97E0B">
        <w:rPr>
          <w:rFonts w:ascii="Times New Roman" w:eastAsia="Calibri" w:hAnsi="Times New Roman" w:cs="Times New Roman"/>
          <w:bCs/>
          <w:iCs/>
          <w:sz w:val="24"/>
          <w:szCs w:val="24"/>
          <w:vertAlign w:val="superscript"/>
        </w:rPr>
        <w:footnoteReference w:id="444"/>
      </w:r>
    </w:p>
    <w:p w14:paraId="36846FE8"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Bir önceki konuşma kesitine ek olarak, bu konuşmada, kardeşlik ve sandık vurgusu yapılmakta ve karşı taraf nefret dili ile suçlanmaktadır. Şiddet tuzağına düşmeyeceğiz derken büyük olasılıkla “biz de sizin gibi nefret dili kullanmayacağız” denmektedir. Sağduyulu ve dikkatli olduklarını söyleyerek, muhalefet ittifakı milletle karşıt bir anlama gelecek şekilde bir konumlandırma yapılmaktadır. Konuşmacı bu partilere oy verenlerin milletin parçası olmadığı gibi bir çıkarıma neden olabilecek bir anlamlandırma yapmaktadır. Aynı zamanda bu ifade, milletin tek bir parçadan oluşan organik bir varlık olduğu ve çoğunluğun iradesinin millete tekabül ettiği anlayışının da tezahürüdür.</w:t>
      </w:r>
    </w:p>
    <w:p w14:paraId="11C5D600" w14:textId="77777777" w:rsidR="002858AE" w:rsidRPr="00E97E0B" w:rsidRDefault="002858AE" w:rsidP="002858AE">
      <w:pPr>
        <w:spacing w:before="120" w:after="120" w:line="240" w:lineRule="auto"/>
        <w:jc w:val="both"/>
        <w:rPr>
          <w:rFonts w:ascii="Times New Roman" w:eastAsia="Calibri" w:hAnsi="Times New Roman" w:cs="Times New Roman"/>
          <w:bCs/>
          <w:iCs/>
          <w:sz w:val="24"/>
          <w:szCs w:val="24"/>
        </w:rPr>
      </w:pPr>
      <w:r w:rsidRPr="00E97E0B">
        <w:rPr>
          <w:rFonts w:ascii="Times New Roman" w:eastAsia="Calibri" w:hAnsi="Times New Roman" w:cs="Times New Roman"/>
          <w:bCs/>
          <w:iCs/>
          <w:sz w:val="24"/>
          <w:szCs w:val="24"/>
        </w:rPr>
        <w:t>“…Kürt kardeşlerim bize bu meseleyi çöz dedi ve biz, her ne pahasına olursa olsun, daima bu meseleyi çözme gayreti içinde olacağız. Bakın bu meselede gerçekten süreç içinde hep yalnız bırakıldık. MHP ve CHP, BDP ile aynı hizada durdu, aynı çizgide buluştu, aynı dili kullandı, ama bizimle, yani çözümle hiçbir zaman aynı safta buluşmadı. 12 Eylül Halkoylamasında, CHP, MHP, BDP zımni bir ittifak yaparken, biz milletle aynı hizada durduk. 12 Haziran’da, BDP, MHP’ye destek vermekten kaçınmazken, Hakkâri’de CHP’ye şov yaptırırken, biz milletimizle birlikte olduk…”</w:t>
      </w:r>
      <w:r w:rsidRPr="00E97E0B">
        <w:rPr>
          <w:rFonts w:ascii="Times New Roman" w:eastAsia="Calibri" w:hAnsi="Times New Roman" w:cs="Times New Roman"/>
          <w:bCs/>
          <w:iCs/>
          <w:sz w:val="24"/>
          <w:szCs w:val="24"/>
          <w:vertAlign w:val="superscript"/>
        </w:rPr>
        <w:footnoteReference w:id="445"/>
      </w:r>
    </w:p>
    <w:p w14:paraId="6DAF72BF"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Bu kesitte Erdoğan, sürekli yalnız bırakıldıklarını söyleyerek seçmen nezdinde empati uyandırmayı amaçlıyor gibi görünmektedir. Zira bir yönetim sürekli çözüm için çabalarken, tüm muhalifleri onu yalnız bırakıyorsa, çözümü isteyen halkın yönetime destek olması gerekir, düşüncesini kurmayı amaçlamaktadır. Burada MHP ve CHP eleştirilmekle birlikte, aslında en büyük öteki örtülü olarak BDP’dir, çünkü MHP ve CHP’ye neden BDP ile berabersiniz, şeklinde bir eleştiri yöneltilmektedir. Burada “hayalkırıklığı” başta MHP ve sonra da CHP’dir ve BDP’den herhangi bir beklenti dahi yoktur. Bu aynı zamanda, MHP’nin Ak Parti’ye yakın konumunu da doğrulamaktadır. Konuşma bölümü içindeki bir diğer ilginç nokta ise çözüm kelimesi ile iç grubun (bizin) eş anlamlı olarak açıklanmasıdır. Bu durumda, çözümün Ak Parti </w:t>
      </w:r>
      <w:r w:rsidRPr="00E97E0B">
        <w:rPr>
          <w:rFonts w:ascii="Times New Roman" w:eastAsia="Calibri" w:hAnsi="Times New Roman" w:cs="Times New Roman"/>
          <w:sz w:val="24"/>
          <w:szCs w:val="24"/>
        </w:rPr>
        <w:lastRenderedPageBreak/>
        <w:t xml:space="preserve">olduğunun tartışılamayacak bir gerçek gibi yansıtılması söz konusudur. BDP’nin MHP’ye destek verdiğinden bahsedilen bölümde, Erdoğan hem MHP seçmenini hem de BDP seçmenini, siyasal yelpazenin iki ucunda bulunan partilerinden şüpheye sevk etmek istemektedir.  </w:t>
      </w:r>
    </w:p>
    <w:p w14:paraId="7ED204CA" w14:textId="77777777" w:rsidR="002858AE" w:rsidRPr="00E97E0B" w:rsidRDefault="002858AE" w:rsidP="002858AE">
      <w:pPr>
        <w:spacing w:before="120" w:after="120" w:line="240" w:lineRule="auto"/>
        <w:jc w:val="both"/>
        <w:rPr>
          <w:rFonts w:ascii="Times New Roman" w:eastAsia="Calibri" w:hAnsi="Times New Roman" w:cs="Times New Roman"/>
          <w:bCs/>
          <w:iCs/>
          <w:sz w:val="24"/>
          <w:szCs w:val="24"/>
        </w:rPr>
      </w:pPr>
      <w:r w:rsidRPr="00E97E0B">
        <w:rPr>
          <w:rFonts w:ascii="Times New Roman" w:eastAsia="Calibri" w:hAnsi="Times New Roman" w:cs="Times New Roman"/>
          <w:bCs/>
          <w:iCs/>
          <w:sz w:val="24"/>
          <w:szCs w:val="24"/>
        </w:rPr>
        <w:t>“…Türkiye’de, adının başında “milletvekili” sıfatı olanlar, adının başında “Genel Başkan” sıfatı olanlar, pervasızca çıkıp, dağdaki gençleri teşvik edebiliyor. Neden? Çünkü onlar da işte o taşeronluk ofisinden besleniyor, onlar da oradan nemalanıyor. Kürt kökenli kardeşlerimin çocukları dağda ölürken, bizim gençlerimiz, polisimiz, askerimiz şehit olurken, bu baronlar semirdikçe semiriyor… …Peki, Allah aşkına BDP bunu sorgulamayacak mı? Susmaya devam mı edecek? Uyuşturucu ticaretine ses çıkaramazlar. Örgüt içi infazlara ses çıkaramazlar. Örgütün faili meçhullerine ses çıkaramazlar. Tacizlere, tecavüzlere, mağarada katledilen kızlara ses çıkaramazlar. Ama çıkarlar, utanmadan, sıkılmadan, “dağa çıkan PKK’lı teslim olmasın” deme pervasızlığını, sorumsuzluğunu sergilerler…”</w:t>
      </w:r>
      <w:r w:rsidRPr="00E97E0B">
        <w:rPr>
          <w:rFonts w:ascii="Times New Roman" w:eastAsia="Calibri" w:hAnsi="Times New Roman" w:cs="Times New Roman"/>
          <w:bCs/>
          <w:iCs/>
          <w:sz w:val="24"/>
          <w:szCs w:val="24"/>
          <w:vertAlign w:val="superscript"/>
        </w:rPr>
        <w:footnoteReference w:id="446"/>
      </w:r>
    </w:p>
    <w:p w14:paraId="5A0EBFE1" w14:textId="77777777" w:rsidR="002858AE" w:rsidRPr="00E97E0B" w:rsidRDefault="002858AE" w:rsidP="002858AE">
      <w:pPr>
        <w:spacing w:before="120" w:after="120" w:line="360" w:lineRule="auto"/>
        <w:ind w:firstLine="720"/>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 son kesitin ilk kısmında yer verilen “taşeron” kelimesi oldukça önemlidir. Anlatılmak istenilen, terör örgütünün dış güçler tarafından desteklendiği ve onlar tarafından yönlendirilerek iş yaptığıdır, ancak milletvekilinin de oradan çıkar ettiğini söyleyerek onu da aynı yerde konumlandırmaktadır. Bu, aktör tanımı açısından, Erdoğan’ın terör örgütü ve siyasi uzantısı olduğunu söylediği parti arasındaki farkı muğlaklaştırmaktadır. BDP’nin Erdoğan söylemindeki konumunu net bir şekilde yansıtan bu örnek, konuşma devamında halkın can kayıplarına karşın küçük bir kesimin bundan çıkar elde ettiklerini hatırlatarak BDP’nin bununla ilgili bir rahatsızlığının ve itirazının olmadığını istifham ile kastetmektedir. Yasadışı ve gayrımeşru eylem ve işleyişlere değinen Erdoğan, dönemin BDP eşbaşkanı Selahattin Demirtaş’ın sözüne gönderme yaparak, PKK’nın dağa çıkmasını teşvik ettiğini doğrulamaktadır.</w:t>
      </w:r>
    </w:p>
    <w:p w14:paraId="613DB2D2" w14:textId="77777777" w:rsidR="00575F63" w:rsidRDefault="002858AE" w:rsidP="00575F63">
      <w:pPr>
        <w:spacing w:before="120" w:after="120" w:line="360" w:lineRule="auto"/>
        <w:ind w:firstLine="720"/>
        <w:jc w:val="both"/>
        <w:rPr>
          <w:rFonts w:ascii="Times New Roman" w:eastAsia="Calibri" w:hAnsi="Times New Roman" w:cs="Times New Roman"/>
          <w:sz w:val="24"/>
          <w:szCs w:val="24"/>
        </w:rPr>
        <w:sectPr w:rsidR="00575F63" w:rsidSect="0023531C">
          <w:type w:val="continuous"/>
          <w:pgSz w:w="11906" w:h="16838"/>
          <w:pgMar w:top="1418" w:right="1418" w:bottom="1418" w:left="2268" w:header="709" w:footer="709" w:gutter="0"/>
          <w:cols w:space="708"/>
          <w:docGrid w:linePitch="360"/>
        </w:sectPr>
      </w:pPr>
      <w:r w:rsidRPr="00E97E0B">
        <w:rPr>
          <w:rFonts w:ascii="Times New Roman" w:eastAsia="Calibri" w:hAnsi="Times New Roman" w:cs="Times New Roman"/>
          <w:sz w:val="24"/>
          <w:szCs w:val="24"/>
        </w:rPr>
        <w:t xml:space="preserve">DTP ve devamı niteliğindeki BDP, Erdoğan’ın incelenen dönemdeki en dış grubunu ifade etmekte, fakat ikinci en dış grubu olarak düşünülebilecek CHP kadar söylemlerinde yer almadığı görülmektedir. Bununla birlikte, BDP’nin dış grup olma durumu daha derin boyutlu ve konumu daha uzaktadır. BDP, PKK ile olan siyasi yakınlığı ve söylemsel paralelliği ile Türkiye’nin en büyük ve mühim sorunlarından biri olan Kürt Sorunu, hem güvenlik boyutuyla hem de sosyal ve siyasi boyutuyla merkezinde olan aktörlerden biridir. Bu nedenle, konumu oldukça hassas ve karmaşık </w:t>
      </w:r>
      <w:r w:rsidRPr="00E97E0B">
        <w:rPr>
          <w:rFonts w:ascii="Times New Roman" w:eastAsia="Calibri" w:hAnsi="Times New Roman" w:cs="Times New Roman"/>
          <w:sz w:val="24"/>
          <w:szCs w:val="24"/>
        </w:rPr>
        <w:lastRenderedPageBreak/>
        <w:t>olmakla birlikte Ak Parti’ye en uzak bir noktadır. İdeolojik olarak hem seküler ve çok mezhepli hem sol hem de Kürt milliyetçisi arkaplanıyla farklı bir öteki olarak konumlandırılmıştır.</w:t>
      </w:r>
    </w:p>
    <w:p w14:paraId="7E6FA055" w14:textId="1BFBE154" w:rsidR="002858AE" w:rsidRPr="00E97E0B" w:rsidRDefault="002858AE" w:rsidP="00B554A1">
      <w:pPr>
        <w:pStyle w:val="Heading1"/>
        <w:spacing w:before="1440" w:after="360"/>
        <w:jc w:val="center"/>
      </w:pPr>
      <w:bookmarkStart w:id="258" w:name="_Toc141133124"/>
      <w:r w:rsidRPr="00E97E0B">
        <w:lastRenderedPageBreak/>
        <w:t>BÖLÜM 6</w:t>
      </w:r>
      <w:bookmarkEnd w:id="258"/>
    </w:p>
    <w:p w14:paraId="1B66C675" w14:textId="7F1A14F9" w:rsidR="002858AE" w:rsidRPr="00E97E0B" w:rsidRDefault="002858AE" w:rsidP="00ED4B64">
      <w:pPr>
        <w:keepNext/>
        <w:keepLines/>
        <w:spacing w:before="240" w:after="360" w:line="360" w:lineRule="auto"/>
        <w:jc w:val="center"/>
        <w:outlineLvl w:val="0"/>
        <w:rPr>
          <w:rFonts w:ascii="Times New Roman" w:eastAsia="Times New Roman" w:hAnsi="Times New Roman" w:cs="Times New Roman"/>
          <w:b/>
          <w:color w:val="000000"/>
          <w:sz w:val="28"/>
          <w:szCs w:val="32"/>
        </w:rPr>
      </w:pPr>
      <w:bookmarkStart w:id="259" w:name="_Toc141133125"/>
      <w:r w:rsidRPr="00E97E0B">
        <w:rPr>
          <w:rFonts w:ascii="Times New Roman" w:eastAsia="Times New Roman" w:hAnsi="Times New Roman" w:cs="Times New Roman"/>
          <w:b/>
          <w:color w:val="000000"/>
          <w:sz w:val="28"/>
          <w:szCs w:val="32"/>
        </w:rPr>
        <w:t>SONUÇ</w:t>
      </w:r>
      <w:bookmarkEnd w:id="259"/>
    </w:p>
    <w:p w14:paraId="50D83E5C"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Bu çalışmada, A. Teun van Dijk’ın Eleştirel Söylem Analizi ile ilgili ilkeleri esas alınarak bir söylem analizi araştırması yapılmıştır. Söylem analizi yöntemi, seçilen kesitlerin ideolojik çözümlemelerinin kategorileri (Aktör Tanımı, Kanıtsallık, Otorite, Mesafe Koyma, Ötekini Kötü Gösterme vb.) kullanılmak suretiyle temel olarak, anlam biçim, eylem ve etkileşim unsurları çerçevesinde incelenerek, söylemlerdeki ötekilerin kimler olduğu, onların nasıl tanımlandığı, nerede konumlandırıldığı ve bunları hangi söylemsel stratejiler ve argümanlarla, hangi bağlam içinde yer aldıkları analiz edilmiştir. Söylemlerde, cümle dizimleri, dil yapılarına bağlı anlam ve vurgu kaymaları, geleneksel temalar, yapıların doğrudan mı dolaylı mı kurulduğu gibi ilişkiler, Türkçe ve Fransızca orijinal konuşma metinleri incelenip Fransızca olan ve doğrudan ele alınan metinler Türkçe’ye çevrilerek gerçekleştirilmiştir. </w:t>
      </w:r>
    </w:p>
    <w:p w14:paraId="12DD30AF"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Çalışma kapsamında yapılan dönemsel karşılaştırmanın faydalarının ve kısıtlılıklarının bazı bilgiler göz önünde bulundurularak değerlendirilmesi yerinde olacaktır. İncelenen yıllar 2007-2012 yılları olup, Fransa Cumhurbaşkanı Nicolas Sarkozy ve Türkiye Cumhuriyeti Başbakanı Recep Tayyip Erdoğan’ın iktidar dönemlerinin kesiştiği bir dönemdir. Bu dönemin vaka incelemeleri olan Erdoğan ve Sarkozy, her iki ülkenin kültürel ve siyasi benzerlikleri nedeniyle tercih edilen ve bu benzerlikler nedeniyle farkların ortaya çıkmasının beklenebilir olduğu düşüncesiyle seçilmiştir. </w:t>
      </w:r>
    </w:p>
    <w:p w14:paraId="4AA15435"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 Erdoğan ve Sarkozy kendi dönemlerinin iktidarlarının en yetkili kişileridir. Ancak, bu yetkileri farklı mevki isimleri ile almışlardır. Erdoğan’ın Başbakan olarak görev aldığı parlamenter sistemde, seçilmiş bir başbakan ve iktidar ve muhalefetin üzerinde uzlaşarak meclis oylamasıyla seçilen bir cumhurbaşkanı vardı. Böyle bir durumda da 2007’de Erdoğan’ın başkanı olduğu partiden istifa ederek aday olan </w:t>
      </w:r>
      <w:r w:rsidRPr="00E97E0B">
        <w:rPr>
          <w:rFonts w:ascii="Times New Roman" w:eastAsia="Calibri" w:hAnsi="Times New Roman" w:cs="Times New Roman"/>
          <w:sz w:val="24"/>
          <w:szCs w:val="24"/>
        </w:rPr>
        <w:lastRenderedPageBreak/>
        <w:t>Abdullah Gül’ün cumhurbaşkanlığı mevkiine gelmesiyle hâlihazırda iktidarı kuvvetlenmiştir.</w:t>
      </w:r>
    </w:p>
    <w:p w14:paraId="2A285CA8" w14:textId="121DA43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Öte yandan, Nicolas Sarkozy’nin iktidarının tek bir cumhurbaşkanlığı süresi kadar sürmüş olması zaten Erdoğan’la kesişen tek bir döneminin olabileceği anlamına gelmektedir. Sarkozy, Erdoğan’dan farklı olarak hâlihazırda kendi cumhurbaşkanlığından önceki Cumhurbaşkanı Jacques Chirac’ın iktidarı döneminde bakanlık kadar yüksek bir mevkide yer almıştır. Üstelik Sarkozy, onun partisinden geliyordu. Bu nedenle, iktidarı döneminde herhangi yeni bir sistem tesis etme çabasının olmadığını söyleyebilir. Özellikle Chirac dönemi</w:t>
      </w:r>
      <w:r w:rsidR="00B44C9E"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merkez sağ çizgisinin çok dışında olmayan Sarkozy’nin bir başkan olarak tarzı ve ABD ile olan ilişkilerdeki göreceli yakınlık öne çıkmaktadır. Bu durum kendi iktidar dönemine kadar pek çok sorun yaşayan, ilk seçimde siyaset yasağı nedeniyle milletvekili dahi olamayan ve iktidara geldikten sonra pek çok konuda yeni önerileri ve vaatleri olan, sonradan Yeni Türkiye Vizyonu sloganıyla da sembolize edilecek reform gündemi, Erdoğan hükümetinin niteliğini farklı kılmaktadır. Türk siyasal hayatında seçime girdiği ve iktidar olduğu ilk dönemi olan 2002-2007 yılları arasında tek başına iktidar olmayı başaran AK Parti’nin güven kazanma ve seçim başarısını sürdürme meselesi öncelikli olduğundan, yeterince muktedir olmadığı görüşü yaygındır. Bu nedenle, Ak Parti’nin ikinci dönemi olan 2007-2011 dönemini</w:t>
      </w:r>
      <w:r w:rsidR="00E5439C" w:rsidRPr="00E97E0B">
        <w:rPr>
          <w:rFonts w:ascii="Times New Roman" w:eastAsia="Calibri" w:hAnsi="Times New Roman" w:cs="Times New Roman"/>
          <w:sz w:val="24"/>
          <w:szCs w:val="24"/>
        </w:rPr>
        <w:t xml:space="preserve"> de kapsayan bir dönemi</w:t>
      </w:r>
      <w:r w:rsidRPr="00E97E0B">
        <w:rPr>
          <w:rFonts w:ascii="Times New Roman" w:eastAsia="Calibri" w:hAnsi="Times New Roman" w:cs="Times New Roman"/>
          <w:sz w:val="24"/>
          <w:szCs w:val="24"/>
        </w:rPr>
        <w:t xml:space="preserve"> incelemenin daha uygun olduğu düşünülmüştür. </w:t>
      </w:r>
    </w:p>
    <w:p w14:paraId="697765FB"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Ardından gelen dönemlerden ilki, Fransa’da 2012-2017 yılları arası Sosyalist Parti’nin iktidar olduğu Cumhurbaşkanı François Hollande dönemidir. Bu dönemin dâhil edilmesinin, daha fazla lideri karşılaştırmak ve karşılaştırmalarda liderlerin farklılıkları üzerinde yoğunlaşmak hususunda sınırlılık oluşturabileceği düşünülmüştür. Zira Sosyalist Parti’nin politikaları her ne kadar Hollande döneminin PS’nin pek çok açıdan halk nezdinde zarar gördüğü fikri hâkim olacak düzeyde sağa meyletse de, siyasal yelpazenin daha soluna denk gelen eski bir parti olması sebebiyle, söylemsel düzeyde bir analizin bu gerçeklikle yeterince uyumlu olmayacağı düşünülmektedir.  </w:t>
      </w:r>
    </w:p>
    <w:p w14:paraId="24903CEE" w14:textId="33B90B02"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2017’den günümüze kadar merkez sağdaki (17 Eylül 2022’den itibaren yeni adıyla Renaissance olan) LREM’in onursal başkanı Cumhurbaşkanı Emmanuel Macron da inceleme konusu olarak tercih edilmemiştir. Bunun bir nedeni, Macron’un </w:t>
      </w:r>
      <w:r w:rsidRPr="00E97E0B">
        <w:rPr>
          <w:rFonts w:ascii="Times New Roman" w:eastAsia="Calibri" w:hAnsi="Times New Roman" w:cs="Times New Roman"/>
          <w:sz w:val="24"/>
          <w:szCs w:val="24"/>
        </w:rPr>
        <w:lastRenderedPageBreak/>
        <w:t>iktidar döneminin henüz devam etmesidir. Bir diğer neden ise 2002’den beri Türkiye’deki tek iktidar partisi olan</w:t>
      </w:r>
      <w:r w:rsidR="003D5F13"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AK Parti’nin genel başkanı ve hala Cumhurbaşkanı olan Recep Tayyip Erdoğan’ın, Cumhurbaşkanı Nicolas Sarkozy ile daha fazla ortak yanlarının olduğu düşüncesidir. Gerek söylem tarzı gerek siyasal eğilimi, Recep Tayyip Erdoğan’ınkine diğer Fransa cumhurbaşkanlarından çok daha fazla benzemektedir. Nitekim Erdoğan ve Sarkozy hem milliyetçi olmaları hem dindar muhafazakâr eğilimlerinin olması, hem de kendi dönemlerinde pek çok reform girişiminde bulunmaları ve muhalefetleriyle daha çatışmacı bir iletişim kurmaları bakımından benzer liderlik özellikleri göstermektedirler. Öte yandan, 2008’de yaşanan küresel ekonomik kriz döneminde iktidar olmaları hasebiyle, Erdoğan ve Sarkozy’nin söylemlerine ekonomik endişe ve tartışmaların daha fazla yansıyacağı düşünülmüştür.</w:t>
      </w:r>
    </w:p>
    <w:p w14:paraId="21C7CF15" w14:textId="70A4F981"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Erdoğan ve Sarkozy söylem tarzı olarak birbirlerine benzer çok sayıda karakteristik özelliklere sahiptir. Her ikisinin söylemlerinde, iktidar oldukları ve incelenen süre içinde, devletin pederşahiliğini bireysel olarak yansıtan öğeler bulunmaktadır. İkisi de ötekilerini ifade ederken onlara karşı güçlü ve hâkim olduklarını hissettirecek tarzda konuşmaktadır. İkisi de söylemlerinde sıkça çoğunlukçu bir tavır takınmakta; kazanan tüm millet adına konuşmakta</w:t>
      </w:r>
      <w:r w:rsidR="009A2FBA"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 xml:space="preserve">ve eyler anlayışını yansıtmaktadır. Bu nedenle, halk iradesini seçmenin oy vermesi üzerinden tanımlama eğilimindedirler. Bu aynı zamanda stratejik olarak ellerini rahatlatan bir başka pencereden de değerlendirilebilir. Erdoğan açısından, yıllardır sandıktan en yüksek oy alan parti ve lider olma özelliğini koruduğundan, meşruiyetini buna indirgemek onu zorlayabilecek diğer meseleler söz konusu olduğunda vazgeçilmez ve etkin bir referanstır. Öte yandan, Sarkozy için durum biraz daha karmaşıktır, çünkü Sarkozy bir kez göreve gelebilmiştir. Toplumun sağ kesimlerinde önemli bir saygınlığı ve desteği olmasına rağmen, birinci aktör olma özelliğini çok daha kısa bir süre sürdürebilmiştir. Buna rağmen Sarkozy de Erdoğan gibi bürokratik engelleri atlayarak hızlı karar alma, ısrarcı iş yapma tarzları ve sağ eğilimleri nedeniyle sandığı bir meşruiyet kaynağı olarak sıkça vurgulamıştır. </w:t>
      </w:r>
    </w:p>
    <w:p w14:paraId="09601C4B" w14:textId="042C7CF1"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İki lider esasında son derece muğlak ve tartışmalı olan alanlarda kavramsal sınırları kesin bir şekilde kendi perspektiflerinden çizdiklerini savunarak konuşma eğilimindedir. Her ikisi de kimlikleri din ve milliyet gibi aşkın kutsal değerler üzerinden kurgulama eğilimindedirler, ancak Erdoğan incelenen dönemin de siyasi </w:t>
      </w:r>
      <w:r w:rsidRPr="00E97E0B">
        <w:rPr>
          <w:rFonts w:ascii="Times New Roman" w:eastAsia="Calibri" w:hAnsi="Times New Roman" w:cs="Times New Roman"/>
          <w:sz w:val="24"/>
          <w:szCs w:val="24"/>
        </w:rPr>
        <w:lastRenderedPageBreak/>
        <w:t>bağlamın</w:t>
      </w:r>
      <w:r w:rsidR="009C6AD3" w:rsidRPr="00E97E0B">
        <w:rPr>
          <w:rFonts w:ascii="Times New Roman" w:eastAsia="Calibri" w:hAnsi="Times New Roman" w:cs="Times New Roman"/>
          <w:sz w:val="24"/>
          <w:szCs w:val="24"/>
        </w:rPr>
        <w:t>ın etkisiyle</w:t>
      </w:r>
      <w:r w:rsidRPr="00E97E0B">
        <w:rPr>
          <w:rFonts w:ascii="Times New Roman" w:eastAsia="Calibri" w:hAnsi="Times New Roman" w:cs="Times New Roman"/>
          <w:sz w:val="24"/>
          <w:szCs w:val="24"/>
        </w:rPr>
        <w:t>, milliyet kavramı daha az ön plana çık</w:t>
      </w:r>
      <w:r w:rsidR="009C6AD3" w:rsidRPr="00E97E0B">
        <w:rPr>
          <w:rFonts w:ascii="Times New Roman" w:eastAsia="Calibri" w:hAnsi="Times New Roman" w:cs="Times New Roman"/>
          <w:sz w:val="24"/>
          <w:szCs w:val="24"/>
        </w:rPr>
        <w:t>ar</w:t>
      </w:r>
      <w:r w:rsidRPr="00E97E0B">
        <w:rPr>
          <w:rFonts w:ascii="Times New Roman" w:eastAsia="Calibri" w:hAnsi="Times New Roman" w:cs="Times New Roman"/>
          <w:sz w:val="24"/>
          <w:szCs w:val="24"/>
        </w:rPr>
        <w:t>makta, hatta bilinçli olarak hafif bir tonla dile getirmektedir. Öyle ki Erdoğan için, farklı ulusal kimliği farklı unsurların bir bütünü, o unsurları da bir bütünün parçaları ve renkleri olarak tanımlamak daha fazla öne çıkan bir davranıştır. Sarkozy ise milliyetçiliği özellikle vurgulama eğiliminde olmuştur. Sarkozy’nin ulusal kimlik söyleminde milliyet ve cumhuriyet ön planda ve</w:t>
      </w:r>
      <w:r w:rsidR="00984084"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 xml:space="preserve">din ikinci plandadır, Erdoğan’ın söyleminde ise din toplumun birliğinin harcı olarak birinci sırada iken milliyet taktiksel olarak geri plana çekilmiştir. Ortak nokta ise her ikisinin milliyet ve din öğelerini temel dayanak noktası olarak kurgulamalarıdır. </w:t>
      </w:r>
    </w:p>
    <w:p w14:paraId="472A1D8C" w14:textId="1E8CFE02" w:rsidR="002858AE" w:rsidRPr="00E97E0B" w:rsidRDefault="002858AE" w:rsidP="002858AE">
      <w:pPr>
        <w:tabs>
          <w:tab w:val="left" w:pos="142"/>
        </w:tabs>
        <w:spacing w:before="120" w:after="120" w:line="360" w:lineRule="auto"/>
        <w:ind w:right="4"/>
        <w:jc w:val="both"/>
        <w:rPr>
          <w:rFonts w:ascii="Times" w:eastAsia="Calibri" w:hAnsi="Times" w:cs="Times New Roman"/>
          <w:sz w:val="24"/>
          <w:szCs w:val="24"/>
          <w:lang w:val="en-US"/>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Her iki lider de kendi ülkelerinde yaygın ve daha fazla mensubu olan inançları kamusal olarak öncelemektedirler. Bu liderlerin siyasi davranış ve hedeflerinin de ötesinde devlet ve kurumların refleksi açısından da beklenebilir bir durumdur. Ayrıca her ikisi de kendi ülkelerindeki dini çoğunluğun inancına mensuptur. Öte yandan, her iki lider de bu tavrı açık bir şekilde desteklemekte ve isteyerek savunmaktalardır. Türkiye’de bu kurumsal tavır Diyanet İşleri Başkanlığı’nın resmi İslam anlayışıyla şekillenmesi üzerinden daha merkeziyetçi ve görünür bir örgütlenme yoluyla gerçekleşirken, Fransa’da Katolik çoğunluğun dinî örgütlenmesi yine merkezi olarak ancak başka bir devlet olan Vatikan ile uyumlu bir şekilde sürmektedir. Bu noktada Fransa’da dini örgütlenme devletle Kilise’nin karşıtlığı üzerinden kurgulanırken, Türkiye’de devletin bir parçası olarak kurgulanmıştır. Türkiye de Fransa da geçmiş yüzyıllarda dini/mezhepsel kavgalar nedeniyle çatışma yaşamış ülkelerdir. Ancak bu iki ülkenin farkı, Türkiye’nin dinsel azınlığının baskın çoğunluğu bu çatışmayı yaşamış olan Sünni-Alevi inancına mensup olan gruplar olurken, Fransa’nın bugün laiklik noktasında ayrıştığı en büyük azınlık unsur Katolik ve Protestanlar değil, Katolik ve Müslüman gruplardır.  Diğer bir deyişle, dini karşıtlığın ekseni Fransa’da değişim göstermiştir. Bu değişime ilişkin, Fransa’da Müslümanların çok büyük bir çoğunluğunun göçmen veya yabancı olması göz önünde bulundurulmalıdır. </w:t>
      </w:r>
      <w:r w:rsidRPr="00E97E0B">
        <w:rPr>
          <w:rFonts w:ascii="Times" w:eastAsia="Calibri" w:hAnsi="Times" w:cs="Times New Roman"/>
          <w:sz w:val="24"/>
          <w:szCs w:val="24"/>
          <w:lang w:val="en-US"/>
        </w:rPr>
        <w:t xml:space="preserve">Sarkozy konuşmalarında Fransa’nın Katolik köklerine vurgu yaparak, Fransa’nın Müslüman olmayan bir ülke olduğunu vurgulamıştır. Ülkesinde bulunan bir grubun dinini ülkesine mal ederken, yine ülkesinde bulunan bir diğer grubun dinini dışsallaştırmaktadır.  Üstelik Katoliklere yaptığı konuşmada laiklik eleştirisi ile, Müslümanlara hitap ederken laiklik övgüsü tonuyla konuşmuştur. Sarkozy’de </w:t>
      </w:r>
      <w:r w:rsidRPr="00E97E0B">
        <w:rPr>
          <w:rFonts w:ascii="Times" w:eastAsia="Calibri" w:hAnsi="Times" w:cs="Times New Roman"/>
          <w:sz w:val="24"/>
          <w:szCs w:val="24"/>
          <w:lang w:val="en-US"/>
        </w:rPr>
        <w:lastRenderedPageBreak/>
        <w:t>Müslümanlardan bir ayrışma unsuru olarak Hristiyanlık incelenen dönemde öne çıkmaktadır. Erdoğan’da ise Müslümanlık birleştirici ve ortak unsur olarak vurgulanmaktadır. Bununla birlikte, Erdoğan’ın “ortak harç” olarak tanımladığı İslam, İslam’ın çoğunluğun anladığı anlamına, yani Sünni İslam anlayışına gönderme niteliğindedir. Böylece Erdoğan birleşmeye ve sahiplenmeye çağırırken, Sarkozy ayrı olmayı kabul etmeyi talep etmektedir. Öte yandan, Sarkozy, herkesin ortak değeri olarak cumhuriyet ve laikliği sunmaktadır. Ancak, konuşmalarında, laiklik söylemleri çerçevesinde Müslüman azınlığın çoğunluğa aykırı bulduğu özelliklerini elemesi talep edilmektedir. Erdoğan</w:t>
      </w:r>
      <w:r w:rsidR="0005117B" w:rsidRPr="00E97E0B">
        <w:rPr>
          <w:rFonts w:ascii="Times" w:eastAsia="Calibri" w:hAnsi="Times" w:cs="Times New Roman"/>
          <w:sz w:val="24"/>
          <w:szCs w:val="24"/>
          <w:lang w:val="en-US"/>
        </w:rPr>
        <w:t>’da</w:t>
      </w:r>
      <w:r w:rsidRPr="00E97E0B">
        <w:rPr>
          <w:rFonts w:ascii="Times" w:eastAsia="Calibri" w:hAnsi="Times" w:cs="Times New Roman"/>
          <w:sz w:val="24"/>
          <w:szCs w:val="24"/>
          <w:lang w:val="en-US"/>
        </w:rPr>
        <w:t xml:space="preserve"> ise Alevi azınlı</w:t>
      </w:r>
      <w:r w:rsidR="0005117B" w:rsidRPr="00E97E0B">
        <w:rPr>
          <w:rFonts w:ascii="Times" w:eastAsia="Calibri" w:hAnsi="Times" w:cs="Times New Roman"/>
          <w:sz w:val="24"/>
          <w:szCs w:val="24"/>
          <w:lang w:val="en-US"/>
        </w:rPr>
        <w:t>ğa yönelik, Sünni çoğunluğun</w:t>
      </w:r>
      <w:r w:rsidRPr="00E97E0B">
        <w:rPr>
          <w:rFonts w:ascii="Times" w:eastAsia="Calibri" w:hAnsi="Times" w:cs="Times New Roman"/>
          <w:sz w:val="24"/>
          <w:szCs w:val="24"/>
          <w:lang w:val="en-US"/>
        </w:rPr>
        <w:t xml:space="preserve"> </w:t>
      </w:r>
      <w:r w:rsidR="0005117B" w:rsidRPr="00E97E0B">
        <w:rPr>
          <w:rFonts w:ascii="Times" w:eastAsia="Calibri" w:hAnsi="Times" w:cs="Times New Roman"/>
          <w:sz w:val="24"/>
          <w:szCs w:val="24"/>
          <w:lang w:val="en-US"/>
        </w:rPr>
        <w:t>Alevilerde</w:t>
      </w:r>
      <w:r w:rsidRPr="00E97E0B">
        <w:rPr>
          <w:rFonts w:ascii="Times" w:eastAsia="Calibri" w:hAnsi="Times" w:cs="Times New Roman"/>
          <w:sz w:val="24"/>
          <w:szCs w:val="24"/>
          <w:lang w:val="en-US"/>
        </w:rPr>
        <w:t xml:space="preserve"> olmayan pratiklerini benimseme</w:t>
      </w:r>
      <w:r w:rsidR="0005117B" w:rsidRPr="00E97E0B">
        <w:rPr>
          <w:rFonts w:ascii="Times" w:eastAsia="Calibri" w:hAnsi="Times" w:cs="Times New Roman"/>
          <w:sz w:val="24"/>
          <w:szCs w:val="24"/>
          <w:lang w:val="en-US"/>
        </w:rPr>
        <w:t>leri</w:t>
      </w:r>
      <w:r w:rsidRPr="00E97E0B">
        <w:rPr>
          <w:rFonts w:ascii="Times" w:eastAsia="Calibri" w:hAnsi="Times" w:cs="Times New Roman"/>
          <w:sz w:val="24"/>
          <w:szCs w:val="24"/>
          <w:lang w:val="en-US"/>
        </w:rPr>
        <w:t xml:space="preserve"> gerektiği yönünde bir altmet</w:t>
      </w:r>
      <w:r w:rsidR="0005117B" w:rsidRPr="00E97E0B">
        <w:rPr>
          <w:rFonts w:ascii="Times" w:eastAsia="Calibri" w:hAnsi="Times" w:cs="Times New Roman"/>
          <w:sz w:val="24"/>
          <w:szCs w:val="24"/>
          <w:lang w:val="en-US"/>
        </w:rPr>
        <w:t>in</w:t>
      </w:r>
      <w:r w:rsidRPr="00E97E0B">
        <w:rPr>
          <w:rFonts w:ascii="Times" w:eastAsia="Calibri" w:hAnsi="Times" w:cs="Times New Roman"/>
          <w:sz w:val="24"/>
          <w:szCs w:val="24"/>
          <w:lang w:val="en-US"/>
        </w:rPr>
        <w:t xml:space="preserve"> mevcuttur. Her iki liderin de dini/mezhepsel değerlerle alakalı ortaklaştıkları husus, mensup oldukları çoğunluğun anlayışını daha baskın hale getirme yönünde söylemleridir, fakat Sarkozy’nin yöntemi farklılıklara odaklanmak iken Erdoğan’ın yöntemi benzerlikleri ya da yakınlıkları vurgulamaktır. Bu farklılık, aynı zamanda siyasi uygulamalarına da yansımaktadır. Örneğin, Erdoğan yönetiminde Türkiye’de Alevi inancının </w:t>
      </w:r>
      <w:r w:rsidR="00FA169C" w:rsidRPr="00E97E0B">
        <w:rPr>
          <w:rFonts w:ascii="Times" w:eastAsia="Calibri" w:hAnsi="Times" w:cs="Times New Roman"/>
          <w:sz w:val="24"/>
          <w:szCs w:val="24"/>
          <w:lang w:val="en-US"/>
        </w:rPr>
        <w:t>İ</w:t>
      </w:r>
      <w:r w:rsidRPr="00E97E0B">
        <w:rPr>
          <w:rFonts w:ascii="Times" w:eastAsia="Calibri" w:hAnsi="Times" w:cs="Times New Roman"/>
          <w:sz w:val="24"/>
          <w:szCs w:val="24"/>
          <w:lang w:val="en-US"/>
        </w:rPr>
        <w:t>slam</w:t>
      </w:r>
      <w:r w:rsidR="00FA169C" w:rsidRPr="00E97E0B">
        <w:rPr>
          <w:rFonts w:ascii="Times" w:eastAsia="Calibri" w:hAnsi="Times" w:cs="Times New Roman"/>
          <w:sz w:val="24"/>
          <w:szCs w:val="24"/>
          <w:lang w:val="en-US"/>
        </w:rPr>
        <w:t>’ı</w:t>
      </w:r>
      <w:r w:rsidRPr="00E97E0B">
        <w:rPr>
          <w:rFonts w:ascii="Times" w:eastAsia="Calibri" w:hAnsi="Times" w:cs="Times New Roman"/>
          <w:sz w:val="24"/>
          <w:szCs w:val="24"/>
          <w:lang w:val="en-US"/>
        </w:rPr>
        <w:t xml:space="preserve">n bir mezhebi olması ve kimliğinin “ayrışmaması için” Alevilere de </w:t>
      </w:r>
      <w:r w:rsidR="00A63B4E" w:rsidRPr="00E97E0B">
        <w:rPr>
          <w:rFonts w:ascii="Times" w:eastAsia="Calibri" w:hAnsi="Times" w:cs="Times New Roman"/>
          <w:sz w:val="24"/>
          <w:szCs w:val="24"/>
          <w:lang w:val="en-US"/>
        </w:rPr>
        <w:t>S</w:t>
      </w:r>
      <w:r w:rsidRPr="00E97E0B">
        <w:rPr>
          <w:rFonts w:ascii="Times" w:eastAsia="Calibri" w:hAnsi="Times" w:cs="Times New Roman"/>
          <w:sz w:val="24"/>
          <w:szCs w:val="24"/>
          <w:lang w:val="en-US"/>
        </w:rPr>
        <w:t>ünni çerçevede bir din anlayışı</w:t>
      </w:r>
      <w:r w:rsidR="00C70A38" w:rsidRPr="00E97E0B">
        <w:rPr>
          <w:rFonts w:ascii="Times" w:eastAsia="Calibri" w:hAnsi="Times" w:cs="Times New Roman"/>
          <w:sz w:val="24"/>
          <w:szCs w:val="24"/>
          <w:lang w:val="en-US"/>
        </w:rPr>
        <w:t>nı</w:t>
      </w:r>
      <w:r w:rsidRPr="00E97E0B">
        <w:rPr>
          <w:rFonts w:ascii="Times" w:eastAsia="Calibri" w:hAnsi="Times" w:cs="Times New Roman"/>
          <w:sz w:val="24"/>
          <w:szCs w:val="24"/>
          <w:lang w:val="en-US"/>
        </w:rPr>
        <w:t xml:space="preserve"> </w:t>
      </w:r>
      <w:r w:rsidR="00C70A38" w:rsidRPr="00E97E0B">
        <w:rPr>
          <w:rFonts w:ascii="Times" w:eastAsia="Calibri" w:hAnsi="Times" w:cs="Times New Roman"/>
          <w:sz w:val="24"/>
          <w:szCs w:val="24"/>
          <w:lang w:val="en-US"/>
        </w:rPr>
        <w:t xml:space="preserve">kabul ettirmek için </w:t>
      </w:r>
      <w:r w:rsidRPr="00E97E0B">
        <w:rPr>
          <w:rFonts w:ascii="Times" w:eastAsia="Calibri" w:hAnsi="Times" w:cs="Times New Roman"/>
          <w:sz w:val="24"/>
          <w:szCs w:val="24"/>
          <w:lang w:val="en-US"/>
        </w:rPr>
        <w:t xml:space="preserve">temel eğitimde zorunlu din dersi verilmekte ve ayrıca </w:t>
      </w:r>
      <w:r w:rsidR="00C70A38" w:rsidRPr="00E97E0B">
        <w:rPr>
          <w:rFonts w:ascii="Times" w:eastAsia="Calibri" w:hAnsi="Times" w:cs="Times New Roman"/>
          <w:sz w:val="24"/>
          <w:szCs w:val="24"/>
          <w:lang w:val="en-US"/>
        </w:rPr>
        <w:t xml:space="preserve">Aleviliğin kurumsal olarak </w:t>
      </w:r>
      <w:r w:rsidRPr="00E97E0B">
        <w:rPr>
          <w:rFonts w:ascii="Times" w:eastAsia="Calibri" w:hAnsi="Times" w:cs="Times New Roman"/>
          <w:sz w:val="24"/>
          <w:szCs w:val="24"/>
          <w:lang w:val="en-US"/>
        </w:rPr>
        <w:t xml:space="preserve">tanınmaması yönünde bir anlayışın olduğu görülmektedir. Sarkozy’nin durumunda ise Paris Katolik Enstitüsü’nün Fransa’da bulunan imamları formasyona tabi tutması için görevlendirmesi, sembolik bir güç gösterisi olarak anlaşılabilir. </w:t>
      </w:r>
    </w:p>
    <w:p w14:paraId="39636BA2" w14:textId="3FC3A50E" w:rsidR="009E48F9" w:rsidRPr="00E97E0B" w:rsidRDefault="009E48F9" w:rsidP="002858AE">
      <w:pPr>
        <w:tabs>
          <w:tab w:val="left" w:pos="142"/>
        </w:tabs>
        <w:spacing w:before="120" w:after="120" w:line="360" w:lineRule="auto"/>
        <w:ind w:right="4"/>
        <w:jc w:val="both"/>
        <w:rPr>
          <w:rFonts w:ascii="Times" w:eastAsia="Calibri" w:hAnsi="Times" w:cs="Times New Roman"/>
          <w:sz w:val="24"/>
          <w:szCs w:val="24"/>
          <w:lang w:val="en-US"/>
        </w:rPr>
      </w:pPr>
      <w:r w:rsidRPr="00E97E0B">
        <w:rPr>
          <w:rFonts w:ascii="Times" w:eastAsia="Calibri" w:hAnsi="Times" w:cs="Times New Roman"/>
          <w:sz w:val="24"/>
          <w:szCs w:val="24"/>
          <w:lang w:val="en-US"/>
        </w:rPr>
        <w:tab/>
      </w:r>
      <w:r w:rsidRPr="00E97E0B">
        <w:rPr>
          <w:rFonts w:ascii="Times" w:eastAsia="Calibri" w:hAnsi="Times" w:cs="Times New Roman"/>
          <w:sz w:val="24"/>
          <w:szCs w:val="24"/>
          <w:lang w:val="en-US"/>
        </w:rPr>
        <w:tab/>
      </w:r>
      <w:r w:rsidR="00774F2A" w:rsidRPr="00E97E0B">
        <w:rPr>
          <w:rFonts w:ascii="Times" w:eastAsia="Calibri" w:hAnsi="Times" w:cs="Times New Roman"/>
          <w:sz w:val="24"/>
          <w:szCs w:val="24"/>
          <w:lang w:val="en-US"/>
        </w:rPr>
        <w:t>Sarkozy,</w:t>
      </w:r>
      <w:r w:rsidRPr="00E97E0B">
        <w:rPr>
          <w:rFonts w:ascii="Times" w:eastAsia="Calibri" w:hAnsi="Times" w:cs="Times New Roman"/>
          <w:sz w:val="24"/>
          <w:szCs w:val="24"/>
          <w:lang w:val="en-US"/>
        </w:rPr>
        <w:t xml:space="preserve"> Latran konuşmasında olduğu gibi</w:t>
      </w:r>
      <w:r w:rsidR="00774F2A" w:rsidRPr="00E97E0B">
        <w:rPr>
          <w:rFonts w:ascii="Times" w:eastAsia="Calibri" w:hAnsi="Times" w:cs="Times New Roman"/>
          <w:sz w:val="24"/>
          <w:szCs w:val="24"/>
          <w:lang w:val="en-US"/>
        </w:rPr>
        <w:t>,</w:t>
      </w:r>
      <w:r w:rsidRPr="00E97E0B">
        <w:rPr>
          <w:rFonts w:ascii="Times" w:eastAsia="Calibri" w:hAnsi="Times" w:cs="Times New Roman"/>
          <w:sz w:val="24"/>
          <w:szCs w:val="24"/>
          <w:lang w:val="en-US"/>
        </w:rPr>
        <w:t xml:space="preserve"> Hristiyan dindar kesiml</w:t>
      </w:r>
      <w:r w:rsidR="00774F2A" w:rsidRPr="00E97E0B">
        <w:rPr>
          <w:rFonts w:ascii="Times" w:eastAsia="Calibri" w:hAnsi="Times" w:cs="Times New Roman"/>
          <w:sz w:val="24"/>
          <w:szCs w:val="24"/>
          <w:lang w:val="en-US"/>
        </w:rPr>
        <w:t xml:space="preserve">eri etkileyecek ve </w:t>
      </w:r>
      <w:r w:rsidR="00A054C0" w:rsidRPr="00E97E0B">
        <w:rPr>
          <w:rFonts w:ascii="Times" w:eastAsia="Calibri" w:hAnsi="Times" w:cs="Times New Roman"/>
          <w:sz w:val="24"/>
          <w:szCs w:val="24"/>
          <w:lang w:val="en-US"/>
        </w:rPr>
        <w:t>Hristiyanlığı önceleyen ve laikliği eleştiren konuşmalarıyla</w:t>
      </w:r>
      <w:r w:rsidR="00774F2A" w:rsidRPr="00E97E0B">
        <w:rPr>
          <w:rFonts w:ascii="Times" w:eastAsia="Calibri" w:hAnsi="Times" w:cs="Times New Roman"/>
          <w:sz w:val="24"/>
          <w:szCs w:val="24"/>
          <w:lang w:val="en-US"/>
        </w:rPr>
        <w:t xml:space="preserve">, </w:t>
      </w:r>
      <w:r w:rsidRPr="00E97E0B">
        <w:rPr>
          <w:rFonts w:ascii="Times" w:eastAsia="Calibri" w:hAnsi="Times" w:cs="Times New Roman"/>
          <w:sz w:val="24"/>
          <w:szCs w:val="24"/>
          <w:lang w:val="en-US"/>
        </w:rPr>
        <w:t>İslamcı siyas</w:t>
      </w:r>
      <w:r w:rsidR="00A054C0" w:rsidRPr="00E97E0B">
        <w:rPr>
          <w:rFonts w:ascii="Times" w:eastAsia="Calibri" w:hAnsi="Times" w:cs="Times New Roman"/>
          <w:sz w:val="24"/>
          <w:szCs w:val="24"/>
          <w:lang w:val="en-US"/>
        </w:rPr>
        <w:t>i anlayışı benimseyen</w:t>
      </w:r>
      <w:r w:rsidRPr="00E97E0B">
        <w:rPr>
          <w:rFonts w:ascii="Times" w:eastAsia="Calibri" w:hAnsi="Times" w:cs="Times New Roman"/>
          <w:sz w:val="24"/>
          <w:szCs w:val="24"/>
          <w:lang w:val="en-US"/>
        </w:rPr>
        <w:t xml:space="preserve"> Erdoğan’ın konuşmalarıyla </w:t>
      </w:r>
      <w:r w:rsidR="00A054C0" w:rsidRPr="00E97E0B">
        <w:rPr>
          <w:rFonts w:ascii="Times" w:eastAsia="Calibri" w:hAnsi="Times" w:cs="Times New Roman"/>
          <w:sz w:val="24"/>
          <w:szCs w:val="24"/>
          <w:lang w:val="en-US"/>
        </w:rPr>
        <w:t xml:space="preserve">dikkate değer bir </w:t>
      </w:r>
      <w:r w:rsidR="00774F2A" w:rsidRPr="00E97E0B">
        <w:rPr>
          <w:rFonts w:ascii="Times" w:eastAsia="Calibri" w:hAnsi="Times" w:cs="Times New Roman"/>
          <w:sz w:val="24"/>
          <w:szCs w:val="24"/>
          <w:lang w:val="en-US"/>
        </w:rPr>
        <w:t>benzerlik göstermektedir.</w:t>
      </w:r>
      <w:r w:rsidR="00A054C0" w:rsidRPr="00E97E0B">
        <w:rPr>
          <w:rFonts w:ascii="Times" w:eastAsia="Calibri" w:hAnsi="Times" w:cs="Times New Roman"/>
          <w:sz w:val="24"/>
          <w:szCs w:val="24"/>
          <w:lang w:val="en-US"/>
        </w:rPr>
        <w:t xml:space="preserve"> Genel olarak</w:t>
      </w:r>
      <w:r w:rsidR="00774F2A" w:rsidRPr="00E97E0B">
        <w:rPr>
          <w:rFonts w:ascii="Times" w:eastAsia="Calibri" w:hAnsi="Times" w:cs="Times New Roman"/>
          <w:sz w:val="24"/>
          <w:szCs w:val="24"/>
          <w:lang w:val="en-US"/>
        </w:rPr>
        <w:t>,</w:t>
      </w:r>
      <w:r w:rsidRPr="00E97E0B">
        <w:rPr>
          <w:rFonts w:ascii="Times" w:eastAsia="Calibri" w:hAnsi="Times" w:cs="Times New Roman"/>
          <w:sz w:val="24"/>
          <w:szCs w:val="24"/>
          <w:lang w:val="en-US"/>
        </w:rPr>
        <w:t xml:space="preserve"> Sarkozy’nin Hristiyanlığı genel anlamda bir siyasi kimlik olarak öne çıkarmamasına rağmen Erdoğan’la bu ölçüde benzeşebilmesi ilginç bir ayrıntıdır.</w:t>
      </w:r>
    </w:p>
    <w:p w14:paraId="35BC5575"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Her ikisinin de coşkulu ve duygusal konuşma özelliği, rakiplerinden kendilerini farklı kılan özelliklerindendir. Ancak, Erdoğan özellikle öteki tanımlarında daha sert ve doğrudan tanımlayıcı ifadelere fazlaca yer verirken, Sarkozy ise daha az doğrudan ve daha yumuşak ifadelerle fakat daha fazla ironiye başvurarak kendisini </w:t>
      </w:r>
      <w:r w:rsidRPr="00E97E0B">
        <w:rPr>
          <w:rFonts w:ascii="Times New Roman" w:eastAsia="Calibri" w:hAnsi="Times New Roman" w:cs="Times New Roman"/>
          <w:sz w:val="24"/>
          <w:szCs w:val="24"/>
        </w:rPr>
        <w:lastRenderedPageBreak/>
        <w:t>ifade etmektedir. Her ikisi de ötekisi hakkında olumsuz konuşurken bunu açık sözlülük ve mertlik olarak sunma eğilimindedir.</w:t>
      </w:r>
    </w:p>
    <w:p w14:paraId="15273BEE"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Her iki lider de faal, icracı, kararlı ve azimli olduğunu göstermekten hoşlanmaktadır. Her iki lider de son derece yalın ve anlaşılır bir dil kullanmaktadır. Sade ve anlaşılır dil kullanmak dinleyicilerin konuşmaları takipte kalmasını ve daha uzun süre kulak verebilmesini sağlamak bakımından önemlidir. Bu durum, siyasetçilerin rakiplerine karşı bir avantaj sağlayan bir unsurdur. </w:t>
      </w:r>
    </w:p>
    <w:p w14:paraId="1D32C572" w14:textId="0E6C9DC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Erdoğan siyasi olarak kendisinden sonra iktidara en yakın olması bakımından en büyük rakibi olarak görülebilecek CHP ve seküler kesime karşı ironik bir dil kullanırken, ideolojik konumu bakımından en fazla ötekisi olan ama nüfusu az olan Kürt Hareketi temsilcilerine ve Alevilere karşı pek fazla ironi kullanmamaktadır. Sarkozy ise en zayıf ötekilerine karşı duruma göre sert, duruma göre yumuşakken; güçlü ötekilerine karşı ya sert ya ironiktir. Bu farka rağmen, ortak özellikleri, her ikisinin de ötekileri ve/veya rakipleri büyük olduğunda, ikisinin de ironiye başvurmalarıdır. Bunun nedeni rakipleri daha büyük olduğunda, on</w:t>
      </w:r>
      <w:r w:rsidR="002B42F3" w:rsidRPr="00E97E0B">
        <w:rPr>
          <w:rFonts w:ascii="Times New Roman" w:eastAsia="Calibri" w:hAnsi="Times New Roman" w:cs="Times New Roman"/>
          <w:sz w:val="24"/>
          <w:szCs w:val="24"/>
        </w:rPr>
        <w:t>ları</w:t>
      </w:r>
      <w:r w:rsidRPr="00E97E0B">
        <w:rPr>
          <w:rFonts w:ascii="Times New Roman" w:eastAsia="Calibri" w:hAnsi="Times New Roman" w:cs="Times New Roman"/>
          <w:sz w:val="24"/>
          <w:szCs w:val="24"/>
        </w:rPr>
        <w:t xml:space="preserve"> toplumun nezdinde alt etmenin alaycılıkla mümkün olması olabilir, çünkü büyük olanla, alay edildiğinde kırılganlığının daha yüksek olduğunu fark etmiş olabilecekleri düşünülmektedir.</w:t>
      </w:r>
      <w:r w:rsidR="002B42F3"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Örneğin, Erdoğan’ın BDP’yi, Sarkozy’nin Müslüman kesimleri ötekileştirirken ironi yaptığına pek rastlamak mümkün değildir. Diğer taraftan, küçük rakiple alay etmek yerine onu sindirmenin daha kolay olduğuna dair bir izlenimleri olduğu düşünülebilir; ancak bu daha ziyade politik psikoloji alanında bir araştırmanın konusu olarak ele alınabilir.</w:t>
      </w:r>
    </w:p>
    <w:p w14:paraId="3FCD71CB" w14:textId="388C7330"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Bir diğer önemli nokta, Erdoğan’ın BDP ve Kürtleri söyleminde belirgin bir şekilde ayırma eğilimidir. Bu elbette toplumsal bir gerçekliğe de karşılık gelmektedir, çünkü Kürtlerin çok önemli bir kısmı Erdoğan’ı ve partisini tercih etmektedir. Ancak, bu gerçekliğe ek olarak bu bir söylemsel stratejiye de tekabül etmektedir.  Sarkozy de benzer bir şekilde ülkesindeki etnik grupları birbirinden ayırma eğilimindedir; sözgelimi Müslümanlar ve Asyalılar hakkındaki sözleri bu iki grubu birer göçmen menşeili grup olarak oldukça farklı tanımladığını göstermektedir. Erdoğan’da ise rakip siyasal elitle o elitin tabanını birbirinden ayırma gayreti söz konusudur. Sarkozy’nin bu farkı, ülkesindeki etnik azınlığın Türkiye’yle kıyasladığımızda birden çok olması değildir. Nitekim Sarkozy, sol siyasetçilerle tabanı daha sık öteki konumunda tutarken </w:t>
      </w:r>
      <w:r w:rsidRPr="00E97E0B">
        <w:rPr>
          <w:rFonts w:ascii="Times New Roman" w:eastAsia="Calibri" w:hAnsi="Times New Roman" w:cs="Times New Roman"/>
          <w:sz w:val="24"/>
          <w:szCs w:val="24"/>
        </w:rPr>
        <w:lastRenderedPageBreak/>
        <w:t>ve tabanla partiyi ayrı tutma gayreti zayıf kalmaktadır. Buna mukabil, Erdoğan, CHP ile, CHP tabanını pek çok fırsatta birbirinden ayırıp yöneticileri hedef almaktadır. Bu durumun demokratik kültürle ilgili olabileceği düşünülmektedir. Türkiye’de “halktan kopuk elit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ya da “halktan kopuk aydın” imgesi Fransa’dakine kıyasla çok daha yaygındır ve seçmen nezdinde bunun bir karşılığının olduğu Erdoğan tarafından fark edilmiş olabilir. Bu imge şaşırtıcı bir biçimde, CHP tabanının algısında da güçlü olsa gerek ki bu stratejiyi Erdoğan’da görmek mümkündür. Bu savın gerekçesi Türkiye’de gerek iktidar gerek muhalefet liderlerinin karşı tarafı eleştirirken, sıklıkla yönetimle tabanı özellikle ayırarak, eleştiriyi karşı partinin tabanını hedef almadan yönelttiğine yönelik tutum ve ifadeleri bunu düşündürmektedir. İki lider de kendi değerlerini ve kararlarını dayatma davranışı ve tavrı konusunda birleşse de söylemsel yöntemleri ve stratejilerinde farklar olduğu görülmektedir. Bu söylemsel özelliklerin bir diğer boyutu ise seçmenin rakip parti tarafından kandırıldığı söylemidir. Siyasi kültürün de etkisiyle, bu tür bir üslup Türkiye’deki pek çok liderde görüleceği gibi Erdoğan’da da görülmektedir. Rakip partinin seçmeninin, o parti tarafından aldatıldığı imgesi, empati ile karşı tarafa yaklaşma davranışı, sıkça başvurulan bir Hüsn-i Talildir. Bu tarzın, Türkiye ve Erdoğan’a kıyasla, Fransa’da ve Sarkozy’de daha nadir olduğu söylenebilir. Genel olarak,</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sz w:val="24"/>
          <w:szCs w:val="24"/>
        </w:rPr>
        <w:t xml:space="preserve">etnik ve kültürel toplumsal gruplarla ilgili olarak, Erdoğan çok daha yumuşak bir dil kullanırken, Sarkozy çok daha sert bir dil kullanmaktadır. Ancak Erdoğan’ın da rakip siyasi elite karşı Sarkozy’nin rakip siyasi elitine karşı kullandığına nispetle daha sert bir üslubu olduğu anlaşılmaktadır. </w:t>
      </w:r>
    </w:p>
    <w:p w14:paraId="4793483F"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Sarkozy, ifadelerini kullanırken daha fazla rasyonalize etme eğilimindedir, Erdoğan ise daha fazla komüniteryan değer ve fikre dayanarak argümanlarını savunmaktadır. Bir diğer deyişle, ilki kanı birliği temasına argümanını rasyonelleştirmeye çalışarak başvururken, diğeri argümanını daha fazla topluma ve toplumun değer ve algılarına dayandırmaktadır. Sözgelimi, Erdoğan, Kürtlerin ve Aleviler’in sorunlarına çözüm ararken, öncelikle toplumsal barışın tüm vatandaşların refah ve mutluluğunu sağlayacağını ve dolayısıyla iktidarını güçlendireceğini düşünerek vatandaşa hitaben “Biz yaratılanı Yaradan’dan ötürü severiz” diyebilmektedir. Sarkozy ise, göçmenlerin bir kısmına sembolik bir baskı oluşturup ve bu arada nitelikli olanları seçerek almak ve bir sonraki seçimde göçmenlerden rahatsız olan vatandaşlardan da oy alabilmek amacına gerekçe olarak, çok fazla göçmenin </w:t>
      </w:r>
      <w:r w:rsidRPr="00E97E0B">
        <w:rPr>
          <w:rFonts w:ascii="Times New Roman" w:eastAsia="Calibri" w:hAnsi="Times New Roman" w:cs="Times New Roman"/>
          <w:sz w:val="24"/>
          <w:szCs w:val="24"/>
        </w:rPr>
        <w:lastRenderedPageBreak/>
        <w:t xml:space="preserve">geldiğini ve dolayısıyla hepsini alamayacaklarını, ekonominin bu durumu kaldıramayacağını söyleyebilmektedir Elbette bu tür stratejiler, hem liderlerin kültürel arka planları hem de hitap ettikleri toplumun özelliklerinin, liderlerin onları nasıl kazanacağı üzerinde etkisi olmasıyla ilişkilidir. </w:t>
      </w:r>
    </w:p>
    <w:p w14:paraId="78476802" w14:textId="317D955A"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Fransa’nın ekonomik yönden Türkiye’den daha müreffeh ve rejimi</w:t>
      </w:r>
      <w:r w:rsidR="00177874" w:rsidRPr="00E97E0B">
        <w:rPr>
          <w:rFonts w:ascii="Times New Roman" w:eastAsia="Calibri" w:hAnsi="Times New Roman" w:cs="Times New Roman"/>
          <w:sz w:val="24"/>
          <w:szCs w:val="24"/>
        </w:rPr>
        <w:t xml:space="preserve"> daha eski</w:t>
      </w:r>
      <w:r w:rsidRPr="00E97E0B">
        <w:rPr>
          <w:rFonts w:ascii="Times New Roman" w:eastAsia="Calibri" w:hAnsi="Times New Roman" w:cs="Times New Roman"/>
          <w:sz w:val="24"/>
          <w:szCs w:val="24"/>
        </w:rPr>
        <w:t xml:space="preserve"> olmasına karşın, Türkiye’de olduğu gibi çatışmacı ve sert bir öteki inşası oluşturan parti ve liderleri iktidara taşımasının mümkün olduğu anlaşılmaktadır. Ancak Fransa için, toplumu fazlasıyla geren bu tür söylemlerin baskınlığı siyasi liderin kalıcılığını daha fazla zorlaştırmıştır. </w:t>
      </w:r>
    </w:p>
    <w:p w14:paraId="666E0DBC"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İki liderin ötekilerinin demografik ve orantısal dağılımı, iktidarlarını koruma stratejilerinde göz önünde bulundurmaları gereken önemli bir faktör olmuştur. Türkiye’deki toplumsal grupların herbiri büyük nüfusludur ve dar bir yelpazede kalmaktadır. Üstelik en büyük dini ve etnik kimlikler olan Sünnilik ve Alevilik ile Türkler ve Kürtler ikili kombinasyonlar halinde birbiriyle görülebilmektedir. Ayrıca, farklı gruplarda, mezhep veya etnisitenin kimlik algısında biri diğerine baskın gelebilmektedir. Fransa’da ise Katolik veya Katolik kökenli (yani Katolik inancını kabul etmiyor da olsa Katolik aile ve kültürden gelen kimseler) diğer toplumsal gruplara göre çok daha baskındır. Diğer grupların içinde en büyük nüfuslu olan Müslümanlar dâhil tüm gruplar, çok daha küçük ve çeşitli olduğundan, siyasi ayrışmalarda kimliğin, Türkiye’dekine göre bir faktör olarak daha az etkin olması tahmin edilebilecek bir durumdur. Ayrıca bunun kısmen doğrulanabildiği anlaşılmaktadır. Nitekim Fransa’da her bir grubun toplam nüfusa dağılımları Türkiye’dekine nispetle düşük olduğundan, ötekiliğe ilişkin söylemler ve kutuplaştırma stratejisi kısa vadeli sonuç verebilmektedir. Zira incelenen 5 yıllık görev süresi içindeki karşılaştırmalardan görüleceği üzere, Sarkozy kimlik siyasetinde ötekileri tanımlarken kısa sürede büyük değişiklikler yapmıştır. Müslüman grubu, görev süresinin başında olumlu bir dış grup olarak konumlandırırken, görev süresinin sonuna doğru Müslüman kimliği daha olumsuz bir dış grup konumuna oturtmuştur. Benzeri bir tavır farkını genel anlamda göçmen politikasında da gösterdiği görülmektedir. Afrikalılar için özellikle Dakar konuşması göz önünde bulundurulduğunda, daha istikrarlı, ancak olumsuz ve gruba daha az dikkat verdiği düşünülebilir. Erdoğan’ın ötekileri olan Kürt etnisitesi ve Alevi inancında durum biraz </w:t>
      </w:r>
      <w:r w:rsidRPr="00E97E0B">
        <w:rPr>
          <w:rFonts w:ascii="Times New Roman" w:eastAsia="Calibri" w:hAnsi="Times New Roman" w:cs="Times New Roman"/>
          <w:sz w:val="24"/>
          <w:szCs w:val="24"/>
        </w:rPr>
        <w:lastRenderedPageBreak/>
        <w:t xml:space="preserve">daha farklıdır. Her ne kadar bu iki gruba karşı farklı tavırlar takınsa da Erdoğan’ın her iki grup hakkında da ortaya koyduğu söylemlerin ortak noktası Sarkozy’ye nispetle daha istikrarlıdır. Erdoğan’ın incelenen dönem özelinde her iki grup hakkındaki konuşmalarında büyük konum değişiklikleri görülmemiştir. Bunun nedenleri bu toplumsal grupların göçmen kökenli olmaması, çoğunluğa daha fazla entegre olmuş olmaları, vatandaş ve dolayısıyla seçmen olmaları ve nüfusa oranlarının yüksek olması olabilir. Bu faktörlerin, söylemsel düzeyde daha istikrarlı ve tutarlı bir söylemi gerektirebileceği tahmin edilebilir. Sarkozy’nin durumunda ise söz konusu azınlıklar, göçmen veya en azından göçmen kökenli olduğundan ve Fransa’da düzenli bir göç süreci yaşanmasından, devletin bu göçü zaman zaman sıkılaştırarak; zaman zaman gevşeterek kontrol etmeye çalışmasıyla ilgili olduğu söylenebilir. </w:t>
      </w:r>
    </w:p>
    <w:p w14:paraId="2711CCA0" w14:textId="7777777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Erdoğan’ın siyasi rakiplerine karşı söylemleri ise kendisini ve partisini icracı, kararlı, faal, hizmet odaklı ve milletin değerleriyle barışık, herkesi kucaklayan, yerli ve milli olarak konumlandırmasıyla başlamaktadır. Bu popülist yaklaşım, benzer bir şekilde Sarkozy’de de görülmektedir. Kendisini zorluklara karşı kararlılıkla mücadele eden, fedakârlık yapan, iş yapan, çalışmayı çalışanı yücelten, çalışkan, cumhuriyet değerlerini savunan, tüm Fransızların iradesini yansıtan bir lider olarak konumlandırmaktadır. Siyasetçiler kendilerini siyasi rakiplerinden hangi açıdan farklı buluyorlarsa bu özelliklerinin karşıtı olarak rakiplerini tanımlarlamaktadır. Haliyle Erdoğan da Sarkozy de bu noktada rakiplerini, oldukları şeyin karşıtı olarak konumlandırma eğilimindedir. İki liderin kendilerini konumlandırdıkları özellikler oldukça benzer olsa da ilginç bir şekilde, Fransa’da iç öteki olabilecek nüfus, toplam nüfusa göre daha küçük ve dağınık kaldığından siyasi rakipler, ülke dışı öteki ile daha az özdeşleştirilerek ötekileştirilmektedir. Türkiye’de olumsuzluğun dış kaynaklara dayandırıldığı söylem daha güçlü ve baskındır. Ülke içi ötekileri sorunlardan sorumlu tutmak, Türkiye’de toplumsal barışı daha kırılgan hale getirebileceğinden bu tür bir söylem geleneğinin oluştuğu düşünülebilir. </w:t>
      </w:r>
    </w:p>
    <w:p w14:paraId="70E3DC1B" w14:textId="0366BFB7"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 xml:space="preserve">Türkiye’de ülke dışı güçlerin suçlanması yaygın görülen bir söylemdir ve bu söylemin yaygınlığı yalnızca iktidarda değil; muhalefette de yaygın bir biçimde gözlemlenmektedir. Fransa’da bu tür bir söylemin </w:t>
      </w:r>
      <w:r w:rsidR="0088091B" w:rsidRPr="00E97E0B">
        <w:rPr>
          <w:rFonts w:ascii="Times New Roman" w:eastAsia="Calibri" w:hAnsi="Times New Roman" w:cs="Times New Roman"/>
          <w:sz w:val="24"/>
          <w:szCs w:val="24"/>
        </w:rPr>
        <w:t xml:space="preserve">aşırı sağ ve aşırı sol </w:t>
      </w:r>
      <w:r w:rsidRPr="00E97E0B">
        <w:rPr>
          <w:rFonts w:ascii="Times New Roman" w:eastAsia="Calibri" w:hAnsi="Times New Roman" w:cs="Times New Roman"/>
          <w:sz w:val="24"/>
          <w:szCs w:val="24"/>
        </w:rPr>
        <w:t>kesim</w:t>
      </w:r>
      <w:r w:rsidR="0088091B" w:rsidRPr="00E97E0B">
        <w:rPr>
          <w:rFonts w:ascii="Times New Roman" w:eastAsia="Calibri" w:hAnsi="Times New Roman" w:cs="Times New Roman"/>
          <w:sz w:val="24"/>
          <w:szCs w:val="24"/>
        </w:rPr>
        <w:t>lerin</w:t>
      </w:r>
      <w:r w:rsidRPr="00E97E0B">
        <w:rPr>
          <w:rFonts w:ascii="Times New Roman" w:eastAsia="Calibri" w:hAnsi="Times New Roman" w:cs="Times New Roman"/>
          <w:sz w:val="24"/>
          <w:szCs w:val="24"/>
        </w:rPr>
        <w:t xml:space="preserve"> dışında çok fazla dillendirilmediği düşünüldüğünde, bu farklılığın nedenlerinden birinin de toplumsal gruplar arası çatışma olasılığının Fransa’da azınlıkta kalan </w:t>
      </w:r>
      <w:r w:rsidRPr="00E97E0B">
        <w:rPr>
          <w:rFonts w:ascii="Times New Roman" w:eastAsia="Calibri" w:hAnsi="Times New Roman" w:cs="Times New Roman"/>
          <w:sz w:val="24"/>
          <w:szCs w:val="24"/>
        </w:rPr>
        <w:lastRenderedPageBreak/>
        <w:t>toplumların sayısal dağılımı nedeniyle daha düşük olduğu, bu sebeple, ülke içi grupları ötekileştirme konusunda daha açık ve belirgin bir tavır takınıldığını söylemek mümkün olabilir. Türkiye’de öne çıkan etnik ve mezhepsel grupların ise çok daha heterojen olması sebebiyle, toplumsal kaynaşmayı da sağlamak niyetiyle tehlike ve sorunları dışsallaştırma eğiliminin daha fazla olduğu söylenebilir. Öyle ki yalnızca iktidar değil muhalefet söylemi de sorunları ve olumsuzlukları açıklarken “dış mihrak” ve “halkın değerlerinden kopuk olma” öğelerine sıklıkla başvurmaktadır. Elbette bunun jeopolitik başkaca nedenleri de söz konusudur, ancak konunun söylemsel strateji açısından bir tarafının bu öğeler olabileceği düşünülmektedir. Bununla birlikte, Erdoğan’ın siyasi ötekilerini “kökleri dışarıda olmak” ifadesi üzerinden eleştirmesi, Sarkozy’de az rastlanır bir durumdur. Bu, aynı zamanda en büyük muhalif grupla dini ve muhafazakâr değerlerle zıtlık içinde gördüğü laiklik ilkesi konusundaki anlaşmazlığı da açığa çıkarmaktadır. Sonuçta, Batı toplumlarında kavramsallaştırılıp gelişen bu ilkeleri “toplumun değerleri” ile çatışan dış kaynaklı bir unsur olarak sunmak güçlü bir söylemsel stratejidir. Erdoğan, ekonomik vizyonunu, halka hizmet argümanıyla ve projeleri öne çıkararak savunmaktadır. Yol ve köprü gibi projelerle gelişen ve büyüyen bir ülke olma argümanına ve bunu siyasi istikrarla ilişkilendirmeye eğilimli olduğu görülmektedir. Sarkozy ise siyasi ötekilerini, kendi çıkarlarına odaklanan ve toplumu bir kenara bırakan daha sade bir popülist argümanla eleştirmektedir. Özellikle göçü, çok kültürlülüğü ve “cumhuriyet değerlerini” ihmal ederek savunan, toplumda değer üretmeyi değil; tembelliği ve kolaycılığı teşvik eden bir sol olduğu söylemi, Sarkozy’nin stratejisinin önemli bir parçası olarak değerlendirilebilir. Öte yandan, Sarkozy, ekonomik vizyonunu, çalışmaya mecbur bir Fransa olması gerektiği, aksi halde fakirleşeceği argümanıyla desteklemektedir. Buna yönelik iş ve vergi konularında izlediği sağ siyaseti de rasyonel ve mecburi yol olarak savunmaktadır. Sarkozy, Erdoğan’ın aksine proje ve hizmet kavramlarına daha az başvurmaktadır, öne çıkardığı unsur imar ve proje değil, vergi politikaları ve çalışmayla ilgili teşvik edici yasalar ve eğitim reformlarıdır.</w:t>
      </w:r>
    </w:p>
    <w:p w14:paraId="707FEAAC" w14:textId="2EEF4ABC"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Hem Sarkozy hem Erdoğan ülkelerinde mevcut sistemleri kökten değiştirdikleri şeklinde yorumlanagelmişlerdir. Sarkozy’nin de Erdoğan’ın da başkanlıkları süresince, geleneksel tarafsız başkan imajını değişikliğe uğrattıklarına yönelik görüşlere</w:t>
      </w:r>
      <w:r w:rsidR="00256A30"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 xml:space="preserve">sıklıkla rastlanmaktadır. Erdoğan’ın konuşmalarında milliyetçi ve </w:t>
      </w:r>
      <w:r w:rsidRPr="00E97E0B">
        <w:rPr>
          <w:rFonts w:ascii="Times New Roman" w:eastAsia="Calibri" w:hAnsi="Times New Roman" w:cs="Times New Roman"/>
          <w:sz w:val="24"/>
          <w:szCs w:val="24"/>
        </w:rPr>
        <w:lastRenderedPageBreak/>
        <w:t xml:space="preserve">mukaddesatçı ton, Türk-İslam sentezine gönderme yapan bir medeniyet idealini taşımaktadır. Benzer bir şekilde, Sarkozy de Avrupa merkezli bir medeniyet idealini dile getirmektedir. Bu kapsamda her ikisinin de dilinde dikkat çekici bir şekilde MHP ve FN ülkelerinin gibi milliyetçi sağına karşı daha yumuşak bir üslup benimsedikleri görülmektedir. Bu durum, hem tabanlarına hitap etme amacını hem de siyasi yakınlığı ve gelecekte ihtiyaç duyabilecekleri potansiyel ittifak ihtimalini koruma ve sağ ile aşırı sağ arasında gidip gelebilecek olan seçmeninin saflarını kendi etki alanında sıkılaştırma amacını taşıyor olabilir. </w:t>
      </w:r>
    </w:p>
    <w:p w14:paraId="765AB3DB" w14:textId="47CC09D9"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Her iki lider de seleflerinin devamı olma iddiasıyla değil, onları aşma iddiasıyla iktidara gelmiştir. Aynı zamanda, iktidar oldukları sistemdeki aksaklıkları düzeltme iddiasını da taşımaktadırlar. Bu bakımdan oldukça benzer bir söylemleri olsa dahi Erdoğan, iktidara geldiğinde devamı olduğu parti ve siyasi düşünceleri iktidarda değildi, fakat Sarkozy, iktidar olmadan önce bakan olarak görev yapmıştı. Buradaki farklılığın, söylemlerindeki ton farkına da yansıdığı görülmektedir. Örneğin, Sarkozy sistemi daha iyi hale getirmeye dair örneğin “Sakin</w:t>
      </w:r>
      <w:r w:rsidR="00F462EC" w:rsidRPr="00E97E0B">
        <w:rPr>
          <w:rFonts w:ascii="Times New Roman" w:eastAsia="Calibri" w:hAnsi="Times New Roman" w:cs="Times New Roman"/>
          <w:sz w:val="24"/>
          <w:szCs w:val="24"/>
        </w:rPr>
        <w:t>/Yumuşak</w:t>
      </w:r>
      <w:r w:rsidRPr="00E97E0B">
        <w:rPr>
          <w:rFonts w:ascii="Times New Roman" w:eastAsia="Calibri" w:hAnsi="Times New Roman" w:cs="Times New Roman"/>
          <w:sz w:val="24"/>
          <w:szCs w:val="24"/>
        </w:rPr>
        <w:t xml:space="preserve"> Kopuş” (Rupture Tranquille), “Daha Fazla Kazanmak İçin Daha Fazla Çalışmak” (Travailler Plus Pour Gagner Plus) gibi sloganlarla yumuşak bir değişimi önerirken, Erdoğan, “Hayaldi Gerçek Oldu,” “Türkiye Her Yerde,” “Yeni Türkiye” gibi daha köklü değişikliğin sinyallerini veren bir propaganda diline başvurmuştur. </w:t>
      </w:r>
    </w:p>
    <w:p w14:paraId="10B2BDA4" w14:textId="046E7DD0" w:rsidR="002858AE" w:rsidRPr="00E97E0B" w:rsidRDefault="002858AE" w:rsidP="002858AE">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Her iki liderin söylem çözümleme kategorileri bakımından benzer öğeleri sıklıkla kullandığı görülmektedir. Bu öğelerin çoğunlukla ortak olduğu gözlemlenmiştir.  Bununla birlikte, ötekini tanımlarken kullanılan kategorilere</w:t>
      </w:r>
      <w:r w:rsidR="00476824"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dair detaylı sistematik bir çıkarsama yapılabilecek bir sonuç elde edilememiştir; fakat her</w:t>
      </w:r>
      <w:r w:rsidR="00B21078"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 xml:space="preserve">iki liderin konuşmalarında bazı özellikler diğerlerinden daha fazla görünür haldedir. Her ikisinin de durum ve aktör kavramsallaştırması, dramatikleştirme, ironi, empati, otorite, kural koyma, örtüklük, ders olarak tarih, genelleştirme, kutuplaştırma, ötekileştirme, ulusal övünç, kendini olumlu sunma, mesafe koyma, kendini olumlu sunma, karşı gerçeklik öğelerini sıklıkla kullandığı görülmektedir. Bu öğelerin dışında daha seyrek olarak mantık yürütme, kanıtsallık, sayı oyunu, örtmece, yadsıma ifadesi gibi unsurların da kullanıldığı görülmüştür. Erdoğan’da kardeşlik, yasallık ve sayı oyunu öğeleri daha belirgin bir şekilde öne çıkarken; kural ifadesi, empati ve karşı </w:t>
      </w:r>
      <w:r w:rsidRPr="00E97E0B">
        <w:rPr>
          <w:rFonts w:ascii="Times New Roman" w:eastAsia="Calibri" w:hAnsi="Times New Roman" w:cs="Times New Roman"/>
          <w:sz w:val="24"/>
          <w:szCs w:val="24"/>
        </w:rPr>
        <w:lastRenderedPageBreak/>
        <w:t>gerçekliğin görece daha çok kullanıldığı görülmektedir. İncelenen kesitlerde Erdoğan örtmeceye pek başvurmamış ve Sarkozy ise kardeşlik öğesine nadiren yer vermiştir</w:t>
      </w:r>
      <w:r w:rsidR="006E5DB9" w:rsidRPr="00E97E0B">
        <w:rPr>
          <w:rFonts w:ascii="Times New Roman" w:eastAsia="Calibri" w:hAnsi="Times New Roman" w:cs="Times New Roman"/>
          <w:sz w:val="24"/>
          <w:szCs w:val="24"/>
        </w:rPr>
        <w:t>.</w:t>
      </w:r>
    </w:p>
    <w:p w14:paraId="3421F167" w14:textId="2FD8975F" w:rsidR="00820771" w:rsidRPr="00E97E0B" w:rsidRDefault="002858AE" w:rsidP="00820771">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İdeolojik eğilimleri benzeyen bu iki lider farklı ülke ve koşullar altında eleştirel söylem analizi perspektifinden incelendiğinde ötekilerini tasvir etme tarzları ve stratejileri açısından oldukça benzer bir görünüm verdikleri anlaşılmaktadır. Erdoğan ve Sarkozy, benzer kutuplaştırma ve ötekileştirme yaklaşımlarına sahiptir. İki lider, farklı ülke ve koşullarda siyaset yapsa da sağ ideolojik konumlarıyla ötekilerini tarif ederken oldukça benzer tarzları yansıtmış görünmektedirler. Bunun nedenini benzer ideolojik anlayışlara sahip olmaları olarak değerlendirmek mümkündür, ancak ötekileri tanımlamalarının pragmatik bir yönünün de ihmal edilmemesi gerekmektedir. Söz konusu ötekilerin, iktidar olanlar tarafından belirlenmekten çok yapısal koşullarının bir sonucu olarak öteki olduklarını anlamak daha makul görünmektedir, zira söz konusu liderler ülkelerinde gerçekten de nüfusça en fazla öne çıkan grupları konumlandırmaktadır. Ancak, Erdoğan ve Sarkozy’nin kavramsallaştırmaları ve ötekilerini konumlandırma tarzlarında bu yapısal koşullara ek olarak, kendi ideolojik çerçevelerinin etki ettiğini söylemek mümkündür. Nitekim iktidar olan her iki lider de ülkelerinde iktidar olacak çoğunluğu elde etme başarısını göstermiş kişiler olmakla kalmayıp; sağ siyaseti temsil etme özelliğini taşımaktadırlar.</w:t>
      </w:r>
    </w:p>
    <w:p w14:paraId="2F771C8D" w14:textId="7B4B4D2F" w:rsidR="00820771" w:rsidRPr="00E97E0B" w:rsidRDefault="00820771" w:rsidP="00820771">
      <w:pPr>
        <w:tabs>
          <w:tab w:val="left" w:pos="142"/>
        </w:tabs>
        <w:spacing w:before="120" w:after="120" w:line="360" w:lineRule="auto"/>
        <w:ind w:right="4"/>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t>Öte yandan, iktidarda olan siyasetçilerin genel olarak seçim kazanabilmek için halihazırda kazanmış oldukları desteği korumaya ve tabanı konsolide</w:t>
      </w:r>
      <w:r w:rsidR="004E1397"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etme ihtiyaçlarının olduğunu varsaymak mümkündür.</w:t>
      </w:r>
      <w:r w:rsidR="00413EB5" w:rsidRPr="00E97E0B">
        <w:t xml:space="preserve"> </w:t>
      </w:r>
      <w:r w:rsidR="00413EB5" w:rsidRPr="00E97E0B">
        <w:rPr>
          <w:rFonts w:ascii="Times New Roman" w:eastAsia="Calibri" w:hAnsi="Times New Roman" w:cs="Times New Roman"/>
          <w:sz w:val="24"/>
          <w:szCs w:val="24"/>
        </w:rPr>
        <w:t xml:space="preserve">Bu, demokratik kültürün gelişme süreci çok daha uzun olan Fransa’da iktidarda olan lider ile Türkiye’deki liderin strateji ve yaklaşımlarının benzemesi nedeniyle ilginçtir. Zira ülkelerdeki koşullar ve siyasi hayata dair değinilmiş olan </w:t>
      </w:r>
      <w:r w:rsidR="007942CD" w:rsidRPr="00E97E0B">
        <w:rPr>
          <w:rFonts w:ascii="Times New Roman" w:eastAsia="Calibri" w:hAnsi="Times New Roman" w:cs="Times New Roman"/>
          <w:sz w:val="24"/>
          <w:szCs w:val="24"/>
        </w:rPr>
        <w:t xml:space="preserve">ve çoğu zaman ülke içi öteki olma özellikleri bakımından tarihsel ve sosyal arkaplanları nedeniyle karşılaştırılması güç </w:t>
      </w:r>
      <w:r w:rsidR="00413EB5" w:rsidRPr="00E97E0B">
        <w:rPr>
          <w:rFonts w:ascii="Times New Roman" w:eastAsia="Calibri" w:hAnsi="Times New Roman" w:cs="Times New Roman"/>
          <w:sz w:val="24"/>
          <w:szCs w:val="24"/>
        </w:rPr>
        <w:t>pek çok unsur farklı olsa da liderlerin söylemlerindeki ötekini yansıtma biçimleri benzerlik göstermektedir. Bu durumda, benzer ideolojik çizgide olan siyasetçilerin koşullar farklı olsa da ötekini tanımlama konusunda oldukça benzeyebileceği iddia edilebilir. Buradan yola çıkarak, farklı ülke ve toplumlarda benzer ideolojik benzerliğin ötekini konumlandırma stratejilerinde ortaklaşmanın olacağı öngörüsünü de içerir.</w:t>
      </w:r>
      <w:r w:rsidRPr="00E97E0B">
        <w:rPr>
          <w:rFonts w:ascii="Times New Roman" w:eastAsia="Calibri" w:hAnsi="Times New Roman" w:cs="Times New Roman"/>
          <w:sz w:val="24"/>
          <w:szCs w:val="24"/>
        </w:rPr>
        <w:t xml:space="preserve"> Bu bakımdan, kimliklerin öne çıktığı bir dönem olan 21. </w:t>
      </w:r>
      <w:r w:rsidR="00990EFB" w:rsidRPr="00E97E0B">
        <w:rPr>
          <w:rFonts w:ascii="Times New Roman" w:eastAsia="Calibri" w:hAnsi="Times New Roman" w:cs="Times New Roman"/>
          <w:sz w:val="24"/>
          <w:szCs w:val="24"/>
        </w:rPr>
        <w:t>y</w:t>
      </w:r>
      <w:r w:rsidRPr="00E97E0B">
        <w:rPr>
          <w:rFonts w:ascii="Times New Roman" w:eastAsia="Calibri" w:hAnsi="Times New Roman" w:cs="Times New Roman"/>
          <w:sz w:val="24"/>
          <w:szCs w:val="24"/>
        </w:rPr>
        <w:t xml:space="preserve">üzyılda, seçmeni yalnızca yüzeysel bir çıkarla cezbetme stratejisinin yetersiz kalacağı söylenebilir. Bu </w:t>
      </w:r>
      <w:r w:rsidRPr="00E97E0B">
        <w:rPr>
          <w:rFonts w:ascii="Times New Roman" w:eastAsia="Calibri" w:hAnsi="Times New Roman" w:cs="Times New Roman"/>
          <w:sz w:val="24"/>
          <w:szCs w:val="24"/>
        </w:rPr>
        <w:lastRenderedPageBreak/>
        <w:t>doğrultuda, sağ iktidarların kimlik üzerinden geliştirdikleri siyasetin, iç ve dış grupların dinamik bir şekilde inşasını sürdürmeleri ve iktidar başarılarını artırmaları için</w:t>
      </w:r>
      <w:r w:rsidR="00CA1896" w:rsidRPr="00E97E0B">
        <w:rPr>
          <w:rFonts w:ascii="Times New Roman" w:eastAsia="Calibri" w:hAnsi="Times New Roman" w:cs="Times New Roman"/>
          <w:sz w:val="24"/>
          <w:szCs w:val="24"/>
        </w:rPr>
        <w:t xml:space="preserve"> genel olarak</w:t>
      </w:r>
      <w:r w:rsidRPr="00E97E0B">
        <w:rPr>
          <w:rFonts w:ascii="Times New Roman" w:eastAsia="Calibri" w:hAnsi="Times New Roman" w:cs="Times New Roman"/>
          <w:sz w:val="24"/>
          <w:szCs w:val="24"/>
        </w:rPr>
        <w:t xml:space="preserve"> önemli bir kaynak olarak gördükleri anlaşılabilir.</w:t>
      </w:r>
    </w:p>
    <w:p w14:paraId="209A74FB" w14:textId="77777777" w:rsidR="00575F63" w:rsidRDefault="00820771" w:rsidP="00575F63">
      <w:pPr>
        <w:tabs>
          <w:tab w:val="left" w:pos="142"/>
        </w:tabs>
        <w:spacing w:before="120" w:after="120" w:line="360" w:lineRule="auto"/>
        <w:ind w:right="4"/>
        <w:jc w:val="both"/>
        <w:rPr>
          <w:rFonts w:ascii="Times New Roman" w:eastAsia="Calibri" w:hAnsi="Times New Roman" w:cs="Times New Roman"/>
          <w:sz w:val="24"/>
          <w:szCs w:val="24"/>
        </w:rPr>
        <w:sectPr w:rsidR="00575F63" w:rsidSect="00575F63">
          <w:pgSz w:w="11906" w:h="16838"/>
          <w:pgMar w:top="1418" w:right="1418" w:bottom="1418" w:left="2268" w:header="709" w:footer="709" w:gutter="0"/>
          <w:cols w:space="708"/>
          <w:docGrid w:linePitch="360"/>
        </w:sectPr>
      </w:pPr>
      <w:r w:rsidRPr="00E97E0B">
        <w:rPr>
          <w:rFonts w:ascii="Times New Roman" w:eastAsia="Calibri" w:hAnsi="Times New Roman" w:cs="Times New Roman"/>
          <w:sz w:val="24"/>
          <w:szCs w:val="24"/>
        </w:rPr>
        <w:tab/>
      </w:r>
      <w:r w:rsidRPr="00E97E0B">
        <w:rPr>
          <w:rFonts w:ascii="Times New Roman" w:eastAsia="Calibri" w:hAnsi="Times New Roman" w:cs="Times New Roman"/>
          <w:sz w:val="24"/>
          <w:szCs w:val="24"/>
        </w:rPr>
        <w:tab/>
      </w:r>
      <w:r w:rsidR="00DB0CDD" w:rsidRPr="00E97E0B">
        <w:rPr>
          <w:rFonts w:ascii="Times New Roman" w:eastAsia="Calibri" w:hAnsi="Times New Roman" w:cs="Times New Roman"/>
          <w:sz w:val="24"/>
          <w:szCs w:val="24"/>
        </w:rPr>
        <w:t>Daha b</w:t>
      </w:r>
      <w:r w:rsidRPr="00E97E0B">
        <w:rPr>
          <w:rFonts w:ascii="Times New Roman" w:eastAsia="Calibri" w:hAnsi="Times New Roman" w:cs="Times New Roman"/>
          <w:sz w:val="24"/>
          <w:szCs w:val="24"/>
        </w:rPr>
        <w:t>enzer koşullara sahip ve aynı</w:t>
      </w:r>
      <w:r w:rsidR="00DB0CDD" w:rsidRPr="00E97E0B">
        <w:rPr>
          <w:rFonts w:ascii="Times New Roman" w:eastAsia="Calibri" w:hAnsi="Times New Roman" w:cs="Times New Roman"/>
          <w:sz w:val="24"/>
          <w:szCs w:val="24"/>
        </w:rPr>
        <w:t xml:space="preserve"> veya yakın</w:t>
      </w:r>
      <w:r w:rsidRPr="00E97E0B">
        <w:rPr>
          <w:rFonts w:ascii="Times New Roman" w:eastAsia="Calibri" w:hAnsi="Times New Roman" w:cs="Times New Roman"/>
          <w:sz w:val="24"/>
          <w:szCs w:val="24"/>
        </w:rPr>
        <w:t xml:space="preserve"> dönemlerde iktidarda olan farklı siyasi yönelimi olan siyasilerin </w:t>
      </w:r>
      <w:r w:rsidR="008A6A46" w:rsidRPr="00E97E0B">
        <w:rPr>
          <w:rFonts w:ascii="Times New Roman" w:eastAsia="Calibri" w:hAnsi="Times New Roman" w:cs="Times New Roman"/>
          <w:sz w:val="24"/>
          <w:szCs w:val="24"/>
        </w:rPr>
        <w:t xml:space="preserve">bu çerçevede </w:t>
      </w:r>
      <w:r w:rsidRPr="00E97E0B">
        <w:rPr>
          <w:rFonts w:ascii="Times New Roman" w:eastAsia="Calibri" w:hAnsi="Times New Roman" w:cs="Times New Roman"/>
          <w:sz w:val="24"/>
          <w:szCs w:val="24"/>
        </w:rPr>
        <w:t>incelenmesi yoluyla</w:t>
      </w:r>
      <w:r w:rsidR="008A6A46" w:rsidRPr="00E97E0B">
        <w:rPr>
          <w:rFonts w:ascii="Times New Roman" w:eastAsia="Calibri" w:hAnsi="Times New Roman" w:cs="Times New Roman"/>
          <w:sz w:val="24"/>
          <w:szCs w:val="24"/>
        </w:rPr>
        <w:t xml:space="preserve"> söylemlerindeki</w:t>
      </w:r>
      <w:r w:rsidRPr="00E97E0B">
        <w:rPr>
          <w:rFonts w:ascii="Times New Roman" w:eastAsia="Calibri" w:hAnsi="Times New Roman" w:cs="Times New Roman"/>
          <w:sz w:val="24"/>
          <w:szCs w:val="24"/>
        </w:rPr>
        <w:t xml:space="preserve"> ötekileştirme tarz ve stratejileri açısından</w:t>
      </w:r>
      <w:r w:rsidR="008A6A4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başka liderlerin karşılaştırılmasının, bu çalışmanın siyasi ideoloji</w:t>
      </w:r>
      <w:r w:rsidR="008A6A46" w:rsidRPr="00E97E0B">
        <w:rPr>
          <w:rFonts w:ascii="Times New Roman" w:eastAsia="Calibri" w:hAnsi="Times New Roman" w:cs="Times New Roman"/>
          <w:sz w:val="24"/>
          <w:szCs w:val="24"/>
        </w:rPr>
        <w:t>nin</w:t>
      </w:r>
      <w:r w:rsidRPr="00E97E0B">
        <w:rPr>
          <w:rFonts w:ascii="Times New Roman" w:eastAsia="Calibri" w:hAnsi="Times New Roman" w:cs="Times New Roman"/>
          <w:sz w:val="24"/>
          <w:szCs w:val="24"/>
        </w:rPr>
        <w:t xml:space="preserve"> ve kimlikle ötekini konumlandırma biçimleri arasındaki ilişkiyi keşfetme çabasına katkı sunacağı varsayılmaktadır. Bu bakımdan, farklı eğilimleri karşılaştırabilecek farklı çalışmaların, ötekileştirme dinamikleri üzerinde daha ayrıntılı ve derin bir perspektif oluşmasını sağlamaya yardım etmesi ve böylelikle konuyla ilgili literatürü geliştirmesi beklenebilir.</w:t>
      </w:r>
    </w:p>
    <w:p w14:paraId="5893C1E1" w14:textId="2FC48120" w:rsidR="002858AE" w:rsidRPr="00E97E0B" w:rsidRDefault="002858AE" w:rsidP="00575F63">
      <w:pPr>
        <w:pStyle w:val="Heading1"/>
        <w:spacing w:before="1440" w:after="360"/>
      </w:pPr>
      <w:bookmarkStart w:id="260" w:name="_Toc141133126"/>
      <w:r w:rsidRPr="00E97E0B">
        <w:lastRenderedPageBreak/>
        <w:t>KAYNAKÇA</w:t>
      </w:r>
      <w:bookmarkStart w:id="261" w:name="_Hlk119354146"/>
      <w:bookmarkEnd w:id="260"/>
    </w:p>
    <w:p w14:paraId="000A78B0" w14:textId="10D6C8D7" w:rsidR="00524020" w:rsidRPr="00E97E0B" w:rsidRDefault="00524020"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AA. “Erdoğan'dan Yahudilere güvence.” 21.06.2012. [Erişim: 10.07.2022]. https://www.aa.com.tr/tr/politika/erdogandan-yahudilere-guvence/360291 </w:t>
      </w:r>
    </w:p>
    <w:p w14:paraId="3781CD00" w14:textId="326942E8"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Adorno</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 Theodor</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Negative Dielectics</w:t>
      </w:r>
      <w:r w:rsidR="00E03AA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London: Routledge, 2004.</w:t>
      </w:r>
    </w:p>
    <w:p w14:paraId="30A1D2B0" w14:textId="0EB827B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Agier</w:t>
      </w:r>
      <w:r w:rsidR="00FE7EF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Michel</w:t>
      </w:r>
      <w:r w:rsidR="00FE7EF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AF7AE2" w:rsidRPr="00E97E0B">
        <w:rPr>
          <w:rFonts w:ascii="Times New Roman" w:eastAsia="Calibri" w:hAnsi="Times New Roman" w:cs="Times New Roman"/>
          <w:sz w:val="24"/>
          <w:szCs w:val="24"/>
        </w:rPr>
        <w:t>L</w:t>
      </w:r>
      <w:r w:rsidRPr="00E97E0B">
        <w:rPr>
          <w:rFonts w:ascii="Times New Roman" w:eastAsia="Calibri" w:hAnsi="Times New Roman" w:cs="Times New Roman"/>
          <w:sz w:val="24"/>
          <w:szCs w:val="24"/>
        </w:rPr>
        <w:t>'Afrique en France après le discours de Dakar</w:t>
      </w:r>
      <w:r w:rsidR="00FE7EF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Vacarme</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1, S. 42</w:t>
      </w:r>
      <w:r w:rsidR="00AF7AE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2008.</w:t>
      </w:r>
    </w:p>
    <w:p w14:paraId="0B65600A" w14:textId="14F73186"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62" w:name="_Hlk136298881"/>
      <w:r w:rsidRPr="00E97E0B">
        <w:rPr>
          <w:rFonts w:ascii="Times New Roman" w:eastAsia="Calibri" w:hAnsi="Times New Roman" w:cs="Times New Roman"/>
          <w:sz w:val="24"/>
          <w:szCs w:val="24"/>
          <w:lang w:val="en-US"/>
        </w:rPr>
        <w:t>Akal</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Cemal Bali</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“Bir Devlet Kuramı için Giriş</w:t>
      </w:r>
      <w:r w:rsidR="00E03AA1"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Devlet Kuramı</w:t>
      </w:r>
      <w:r w:rsidRPr="00E97E0B">
        <w:rPr>
          <w:rFonts w:ascii="Times New Roman" w:eastAsia="Calibri" w:hAnsi="Times New Roman" w:cs="Times New Roman"/>
          <w:sz w:val="24"/>
          <w:szCs w:val="24"/>
          <w:lang w:val="en-US"/>
        </w:rPr>
        <w:t xml:space="preserve"> içinde, der. Cemal Bali Akal, Ankara: Dost Kitabevi, 2000</w:t>
      </w:r>
      <w:bookmarkEnd w:id="262"/>
      <w:r w:rsidRPr="00E97E0B">
        <w:rPr>
          <w:rFonts w:ascii="Times New Roman" w:eastAsia="Calibri" w:hAnsi="Times New Roman" w:cs="Times New Roman"/>
          <w:sz w:val="24"/>
          <w:szCs w:val="24"/>
          <w:lang w:val="en-US"/>
        </w:rPr>
        <w:t>.</w:t>
      </w:r>
    </w:p>
    <w:p w14:paraId="4B221368" w14:textId="58B72826"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Akşin</w:t>
      </w:r>
      <w:r w:rsidR="005D725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Sina</w:t>
      </w:r>
      <w:r w:rsidR="005D725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Ermeni Meselesinin Genel Bir Değerlendirmesi</w:t>
      </w:r>
      <w:r w:rsidR="00E03AA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Ermeni Araştırmaları</w:t>
      </w:r>
      <w:r w:rsidRPr="00E97E0B">
        <w:rPr>
          <w:rFonts w:ascii="Times New Roman" w:eastAsia="Calibri" w:hAnsi="Times New Roman" w:cs="Times New Roman"/>
          <w:sz w:val="24"/>
          <w:szCs w:val="24"/>
        </w:rPr>
        <w:t>, S. 50, 2015.</w:t>
      </w:r>
    </w:p>
    <w:p w14:paraId="754F6A53" w14:textId="09A3E097" w:rsidR="002858AE" w:rsidRPr="00E97E0B" w:rsidRDefault="005D725A" w:rsidP="002858AE">
      <w:pPr>
        <w:spacing w:before="240" w:after="240" w:line="240" w:lineRule="auto"/>
        <w:jc w:val="both"/>
        <w:rPr>
          <w:rFonts w:ascii="Times New Roman" w:eastAsia="Calibri" w:hAnsi="Times New Roman" w:cs="Times New Roman"/>
          <w:sz w:val="24"/>
          <w:szCs w:val="24"/>
          <w:lang w:val="en-US"/>
        </w:rPr>
      </w:pPr>
      <w:bookmarkStart w:id="263" w:name="_Hlk136297920"/>
      <w:r w:rsidRPr="00E97E0B">
        <w:rPr>
          <w:rFonts w:ascii="Times New Roman" w:eastAsia="Calibri" w:hAnsi="Times New Roman" w:cs="Times New Roman"/>
          <w:sz w:val="24"/>
          <w:szCs w:val="24"/>
        </w:rPr>
        <w:t>___________.</w:t>
      </w:r>
      <w:r w:rsidR="002858AE" w:rsidRPr="00E97E0B">
        <w:rPr>
          <w:rFonts w:ascii="Times New Roman" w:eastAsia="Calibri" w:hAnsi="Times New Roman" w:cs="Times New Roman"/>
          <w:sz w:val="24"/>
          <w:szCs w:val="24"/>
          <w:lang w:val="en-US"/>
        </w:rPr>
        <w:t xml:space="preserve"> </w:t>
      </w:r>
      <w:r w:rsidR="002858AE" w:rsidRPr="00E97E0B">
        <w:rPr>
          <w:rFonts w:ascii="Times New Roman" w:eastAsia="Calibri" w:hAnsi="Times New Roman" w:cs="Times New Roman"/>
          <w:i/>
          <w:iCs/>
          <w:sz w:val="24"/>
          <w:szCs w:val="24"/>
          <w:lang w:val="en-US"/>
        </w:rPr>
        <w:t>Kısa Türkiye Tarihi</w:t>
      </w:r>
      <w:r w:rsidR="00D911DD" w:rsidRPr="00E97E0B">
        <w:rPr>
          <w:rFonts w:ascii="Times New Roman" w:eastAsia="Calibri" w:hAnsi="Times New Roman" w:cs="Times New Roman"/>
          <w:sz w:val="24"/>
          <w:szCs w:val="24"/>
          <w:lang w:val="en-US"/>
        </w:rPr>
        <w:t>.</w:t>
      </w:r>
      <w:r w:rsidR="002858AE" w:rsidRPr="00E97E0B">
        <w:rPr>
          <w:rFonts w:ascii="Times New Roman" w:eastAsia="Calibri" w:hAnsi="Times New Roman" w:cs="Times New Roman"/>
          <w:sz w:val="24"/>
          <w:szCs w:val="24"/>
          <w:lang w:val="en-US"/>
        </w:rPr>
        <w:t xml:space="preserve"> 20</w:t>
      </w:r>
      <w:r w:rsidR="00D911DD" w:rsidRPr="00E97E0B">
        <w:rPr>
          <w:rFonts w:ascii="Times New Roman" w:eastAsia="Calibri" w:hAnsi="Times New Roman" w:cs="Times New Roman"/>
          <w:sz w:val="24"/>
          <w:szCs w:val="24"/>
          <w:lang w:val="en-US"/>
        </w:rPr>
        <w:t>.</w:t>
      </w:r>
      <w:r w:rsidR="002858AE" w:rsidRPr="00E97E0B">
        <w:rPr>
          <w:rFonts w:ascii="Times New Roman" w:eastAsia="Calibri" w:hAnsi="Times New Roman" w:cs="Times New Roman"/>
          <w:sz w:val="24"/>
          <w:szCs w:val="24"/>
          <w:lang w:val="en-US"/>
        </w:rPr>
        <w:t xml:space="preserve"> Baskı, İstanbul: İş Bankası Yayınları, Ocak 2016)</w:t>
      </w:r>
      <w:bookmarkEnd w:id="263"/>
      <w:r w:rsidR="002858AE" w:rsidRPr="00E97E0B">
        <w:rPr>
          <w:rFonts w:ascii="Times New Roman" w:eastAsia="Calibri" w:hAnsi="Times New Roman" w:cs="Times New Roman"/>
          <w:sz w:val="24"/>
          <w:szCs w:val="24"/>
          <w:lang w:val="en-US"/>
        </w:rPr>
        <w:t>.</w:t>
      </w:r>
    </w:p>
    <w:p w14:paraId="02AEE16D" w14:textId="22B09651"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Aktaş</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Hayati ve </w:t>
      </w:r>
      <w:r w:rsidR="00137C76" w:rsidRPr="00E97E0B">
        <w:rPr>
          <w:rFonts w:ascii="Times New Roman" w:eastAsia="Calibri" w:hAnsi="Times New Roman" w:cs="Times New Roman"/>
          <w:sz w:val="24"/>
          <w:szCs w:val="24"/>
        </w:rPr>
        <w:t xml:space="preserve">Vahit </w:t>
      </w:r>
      <w:r w:rsidRPr="00E97E0B">
        <w:rPr>
          <w:rFonts w:ascii="Times New Roman" w:eastAsia="Calibri" w:hAnsi="Times New Roman" w:cs="Times New Roman"/>
          <w:sz w:val="24"/>
          <w:szCs w:val="24"/>
        </w:rPr>
        <w:t>Güntay</w:t>
      </w:r>
      <w:r w:rsidR="00E03AA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CA546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Türk-Ermeni İlişkilerinde Algılar ve Karar Alıcılar, Tarihin Yansımaları Üzerine Bir Analiz</w:t>
      </w:r>
      <w:r w:rsidR="00CA546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Ermeni Araştırmaları</w:t>
      </w:r>
      <w:r w:rsidR="00E03AA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 54, 2016, 51-69.</w:t>
      </w:r>
    </w:p>
    <w:p w14:paraId="0A0ABC09" w14:textId="6ABC1096"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Alpay</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Yalın</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Yalanın Siyaseti</w:t>
      </w:r>
      <w:r w:rsidR="00E03AA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İstanbul: Destek Yayınları</w:t>
      </w:r>
      <w:r w:rsidR="00E03AA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2017.</w:t>
      </w:r>
    </w:p>
    <w:p w14:paraId="58DC69E8" w14:textId="4ECDB549"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Alpman</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Polat S</w:t>
      </w:r>
      <w:r w:rsidR="00F42D2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“Sosyal Teorinin Konusu Olarak Kimlik: Sosyal İnşacı Yaklaşım</w:t>
      </w:r>
      <w:r w:rsidR="00E03AA1"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Sosyoloji Araştırmaları Dergisi</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21, S.2 Ekim 2018.</w:t>
      </w:r>
    </w:p>
    <w:p w14:paraId="624B1315" w14:textId="1EA2EC8B"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Arkonaç</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Sibel</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i/>
          <w:iCs/>
          <w:sz w:val="24"/>
          <w:szCs w:val="24"/>
        </w:rPr>
        <w:t xml:space="preserve"> Psikolojide Söz ve Anlam Analizi Niteliksel Duruş,</w:t>
      </w:r>
      <w:r w:rsidRPr="00E97E0B">
        <w:rPr>
          <w:rFonts w:ascii="Times New Roman" w:eastAsia="Calibri" w:hAnsi="Times New Roman" w:cs="Times New Roman"/>
          <w:sz w:val="24"/>
          <w:szCs w:val="24"/>
        </w:rPr>
        <w:t xml:space="preserve"> İstanbul: Hiperyayın, 2017.</w:t>
      </w:r>
    </w:p>
    <w:p w14:paraId="75280902" w14:textId="461E003A"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Arslan</w:t>
      </w:r>
      <w:r w:rsidR="00F5121C"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Aylin</w:t>
      </w:r>
      <w:r w:rsidR="00F5121C"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“Ötekiliğin dinsel kimlik ve cinsel kimlik çerçevesindeki izdüşümleri</w:t>
      </w:r>
      <w:r w:rsidR="00E03AA1"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Hacettepe Üniversitesi Sosyal Bilimler Enstitüsü, Ankara 2021, Yayımlanmış Yüksek Lisans Tezi.</w:t>
      </w:r>
    </w:p>
    <w:p w14:paraId="1BEE7FA6" w14:textId="14819E53"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64" w:name="_Hlk136298834"/>
      <w:r w:rsidRPr="00E97E0B">
        <w:rPr>
          <w:rFonts w:ascii="Times New Roman" w:eastAsia="Calibri" w:hAnsi="Times New Roman" w:cs="Times New Roman"/>
          <w:sz w:val="24"/>
          <w:szCs w:val="24"/>
          <w:lang w:val="en-US"/>
        </w:rPr>
        <w:t>Arslan</w:t>
      </w:r>
      <w:r w:rsidR="00F5121C"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Berna Zengin</w:t>
      </w:r>
      <w:r w:rsidR="00F5121C"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“Aleviliği Tanımlamak: Türkiye’de Dinin Yönetimi, Sekülerlik ve Diyanet</w:t>
      </w:r>
      <w:r w:rsidR="006617F6"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Mülkiye Dergisi</w:t>
      </w:r>
      <w:r w:rsidRPr="00E97E0B">
        <w:rPr>
          <w:rFonts w:ascii="Times New Roman" w:eastAsia="Calibri" w:hAnsi="Times New Roman" w:cs="Times New Roman"/>
          <w:sz w:val="24"/>
          <w:szCs w:val="24"/>
          <w:lang w:val="en-US"/>
        </w:rPr>
        <w:t>, Ankara: 2015</w:t>
      </w:r>
      <w:bookmarkEnd w:id="264"/>
      <w:r w:rsidRPr="00E97E0B">
        <w:rPr>
          <w:rFonts w:ascii="Times New Roman" w:eastAsia="Calibri" w:hAnsi="Times New Roman" w:cs="Times New Roman"/>
          <w:sz w:val="24"/>
          <w:szCs w:val="24"/>
          <w:lang w:val="en-US"/>
        </w:rPr>
        <w:t>.</w:t>
      </w:r>
    </w:p>
    <w:p w14:paraId="27A3C8C4" w14:textId="5A56C51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Arslan</w:t>
      </w:r>
      <w:r w:rsidR="0069722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Keskin</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Fatma Betül</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Değişen Kürt Sorunu Algısı: Çözüm Süreci Dönemi (2005-2015)</w:t>
      </w:r>
      <w:r w:rsidR="00F5121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F5121C" w:rsidRPr="00E97E0B">
        <w:rPr>
          <w:rFonts w:ascii="Times New Roman" w:eastAsia="Calibri" w:hAnsi="Times New Roman" w:cs="Times New Roman"/>
          <w:sz w:val="24"/>
          <w:szCs w:val="24"/>
        </w:rPr>
        <w:t xml:space="preserve">Yayımlanmış Doktora Tezi, </w:t>
      </w:r>
      <w:r w:rsidRPr="00E97E0B">
        <w:rPr>
          <w:rFonts w:ascii="Times New Roman" w:eastAsia="Calibri" w:hAnsi="Times New Roman" w:cs="Times New Roman"/>
          <w:sz w:val="24"/>
          <w:szCs w:val="24"/>
        </w:rPr>
        <w:t xml:space="preserve">Ankara Yıldırım Beyazıt Üniversitesi Sosyal Bilimler Enstitüsü, 2018. </w:t>
      </w:r>
    </w:p>
    <w:p w14:paraId="5159C94A" w14:textId="401250CD"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65" w:name="_Hlk136298724"/>
      <w:r w:rsidRPr="00E97E0B">
        <w:rPr>
          <w:rFonts w:ascii="Times New Roman" w:eastAsia="Calibri" w:hAnsi="Times New Roman" w:cs="Times New Roman"/>
          <w:sz w:val="24"/>
          <w:szCs w:val="24"/>
          <w:lang w:val="en-US"/>
        </w:rPr>
        <w:t>Aslan</w:t>
      </w:r>
      <w:r w:rsidR="00F5121C"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Ali</w:t>
      </w:r>
      <w:r w:rsidR="00F5121C"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“Post-Kemalist Türkiye'de siyaset</w:t>
      </w:r>
      <w:r w:rsidR="00E03AA1"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N. Miş, A. Aslan Ed</w:t>
      </w:r>
      <w:r w:rsidR="00E03AA1" w:rsidRPr="00E97E0B">
        <w:rPr>
          <w:rFonts w:ascii="Times New Roman" w:eastAsia="Calibri" w:hAnsi="Times New Roman" w:cs="Times New Roman"/>
          <w:sz w:val="24"/>
          <w:szCs w:val="24"/>
          <w:lang w:val="en-US"/>
        </w:rPr>
        <w:t>s.</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 xml:space="preserve">AK Parti’nin 15 Yılı: Siyaset </w:t>
      </w:r>
      <w:r w:rsidRPr="00E97E0B">
        <w:rPr>
          <w:rFonts w:ascii="Times New Roman" w:eastAsia="Calibri" w:hAnsi="Times New Roman" w:cs="Times New Roman"/>
          <w:sz w:val="24"/>
          <w:szCs w:val="24"/>
          <w:lang w:val="en-US"/>
        </w:rPr>
        <w:t>içinde, İstanbul: SETA, 2017</w:t>
      </w:r>
      <w:bookmarkEnd w:id="265"/>
    </w:p>
    <w:p w14:paraId="7C8BFDA9" w14:textId="0C742E38" w:rsidR="002858AE" w:rsidRPr="00E97E0B" w:rsidRDefault="002858AE" w:rsidP="002858AE">
      <w:pPr>
        <w:spacing w:after="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lastRenderedPageBreak/>
        <w:t>Ayanoğlu</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Betül</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Otherness in Turkish-Greek Relations: Continuity and Change in the Political Discourse (1996-1999)</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00FE7EFD" w:rsidRPr="00E97E0B">
        <w:rPr>
          <w:rFonts w:ascii="Times New Roman" w:eastAsia="Calibri" w:hAnsi="Times New Roman" w:cs="Times New Roman"/>
          <w:sz w:val="24"/>
          <w:szCs w:val="24"/>
          <w:lang w:val="en-US"/>
        </w:rPr>
        <w:t xml:space="preserve">Yayımlanmış Doktora Tezi, </w:t>
      </w:r>
      <w:r w:rsidRPr="00E97E0B">
        <w:rPr>
          <w:rFonts w:ascii="Times New Roman" w:eastAsia="Calibri" w:hAnsi="Times New Roman" w:cs="Times New Roman"/>
          <w:sz w:val="24"/>
          <w:szCs w:val="24"/>
          <w:lang w:val="en-US"/>
        </w:rPr>
        <w:t>Yıldız Teknik Üniversitesi, Sosyal Bilimler Enstitüsü, İstanbul</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2021</w:t>
      </w:r>
      <w:r w:rsidR="00FE7EFD" w:rsidRPr="00E97E0B">
        <w:rPr>
          <w:rFonts w:ascii="Times New Roman" w:eastAsia="Calibri" w:hAnsi="Times New Roman" w:cs="Times New Roman"/>
          <w:sz w:val="24"/>
          <w:szCs w:val="24"/>
          <w:lang w:val="en-US"/>
        </w:rPr>
        <w:t>.</w:t>
      </w:r>
    </w:p>
    <w:p w14:paraId="218F3E2C" w14:textId="12191583"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Atılgan, Gökhan, </w:t>
      </w:r>
      <w:r w:rsidR="006A0604" w:rsidRPr="00E97E0B">
        <w:rPr>
          <w:rFonts w:ascii="Times New Roman" w:eastAsia="Calibri" w:hAnsi="Times New Roman" w:cs="Times New Roman"/>
          <w:sz w:val="24"/>
          <w:szCs w:val="24"/>
        </w:rPr>
        <w:t xml:space="preserve">E. Attila Aytekin, Ebru Deniz Ozan, Cenk Saraçoğlu, Mustafa Şener, Ateş Uslu, Melih Yeşilbağ, </w:t>
      </w:r>
      <w:r w:rsidRPr="00E97E0B">
        <w:rPr>
          <w:rFonts w:ascii="Times New Roman" w:eastAsia="Calibri" w:hAnsi="Times New Roman" w:cs="Times New Roman"/>
          <w:i/>
          <w:iCs/>
          <w:sz w:val="24"/>
          <w:szCs w:val="24"/>
        </w:rPr>
        <w:t>Osmanlı’dan Günümüze Türkiye’de Siyasal Hayat</w:t>
      </w:r>
      <w:r w:rsidRPr="00E97E0B">
        <w:rPr>
          <w:rFonts w:ascii="Times New Roman" w:eastAsia="Calibri" w:hAnsi="Times New Roman" w:cs="Times New Roman"/>
          <w:sz w:val="24"/>
          <w:szCs w:val="24"/>
        </w:rPr>
        <w:t xml:space="preserve">, İstanbul: Yordam Yayınları, 2022. </w:t>
      </w:r>
    </w:p>
    <w:p w14:paraId="0F50E88B" w14:textId="77777777"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Atlasocio, https://atlasocio.com/classements/religions/judaisme/classement-etats-par-adherents-judaisme-nombre-monde.php. [Erişim: 11.03.2022].</w:t>
      </w:r>
    </w:p>
    <w:p w14:paraId="2DF5C5B5" w14:textId="34129F3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Aubin de La Messuzière</w:t>
      </w:r>
      <w:r w:rsidR="00496A30"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Yves</w:t>
      </w:r>
      <w:r w:rsidR="009B5EA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“Pour l’Europe et la France, le conflit israélo-palestinien est devenu secondaire</w:t>
      </w:r>
      <w:r w:rsidR="00087046"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Confluence Méditerannée</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xml:space="preserve"> 1, S. 96, 2016.</w:t>
      </w:r>
    </w:p>
    <w:p w14:paraId="59E22505" w14:textId="1B4CEB6C" w:rsidR="00FD4199" w:rsidRPr="00E97E0B" w:rsidRDefault="00FD4199"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AVİM. “Erdoğan, Çizgiyi Çekti: Kürt Meselesi Yoktur.” AVİM, 18.04.2011, [Erişim: 05.06.2022]. https://avim.org.tr/tr/Bulten/ERDOGAN-CIZGIYI-CEKTI-KURT-MESELESI-YOKTUR</w:t>
      </w:r>
    </w:p>
    <w:p w14:paraId="6A78015B" w14:textId="62A15689"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Bahtin</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Mihail M</w:t>
      </w:r>
      <w:r w:rsidR="00F42D2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Söylem Türleri ve Başka Yazılar</w:t>
      </w:r>
      <w:r w:rsidR="00087046" w:rsidRPr="00E97E0B">
        <w:rPr>
          <w:rFonts w:ascii="Times New Roman" w:eastAsia="Calibri" w:hAnsi="Times New Roman" w:cs="Times New Roman"/>
          <w:i/>
          <w:iCs/>
          <w:sz w:val="24"/>
          <w:szCs w:val="24"/>
        </w:rPr>
        <w:t>.</w:t>
      </w:r>
      <w:r w:rsidRPr="00E97E0B">
        <w:rPr>
          <w:rFonts w:ascii="Times New Roman" w:eastAsia="Calibri" w:hAnsi="Times New Roman" w:cs="Times New Roman"/>
          <w:sz w:val="24"/>
          <w:szCs w:val="24"/>
        </w:rPr>
        <w:t xml:space="preserve"> Çev. Okan N. Çiftci</w:t>
      </w:r>
      <w:r w:rsidR="0008704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1. </w:t>
      </w:r>
      <w:r w:rsidR="00087046" w:rsidRPr="00E97E0B">
        <w:rPr>
          <w:rFonts w:ascii="Times New Roman" w:eastAsia="Calibri" w:hAnsi="Times New Roman" w:cs="Times New Roman"/>
          <w:sz w:val="24"/>
          <w:szCs w:val="24"/>
        </w:rPr>
        <w:t>Baskı</w:t>
      </w:r>
      <w:r w:rsidRPr="00E97E0B">
        <w:rPr>
          <w:rFonts w:ascii="Times New Roman" w:eastAsia="Calibri" w:hAnsi="Times New Roman" w:cs="Times New Roman"/>
          <w:sz w:val="24"/>
          <w:szCs w:val="24"/>
        </w:rPr>
        <w:t>, İstanbul: Metis Yayınları, 2016.</w:t>
      </w:r>
    </w:p>
    <w:p w14:paraId="18D8E7B0" w14:textId="21DAB516"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Bakhtine M.</w:t>
      </w:r>
      <w:r w:rsidR="00FE7EF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“Le discours dans la vie et le discours dans la poésie. Contribution à une poétique sociologique</w:t>
      </w:r>
      <w:r w:rsidR="00087046"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Le principe Dialogique</w:t>
      </w:r>
      <w:r w:rsidRPr="00E97E0B">
        <w:rPr>
          <w:rFonts w:ascii="Times New Roman" w:eastAsia="Calibri" w:hAnsi="Times New Roman" w:cs="Times New Roman"/>
          <w:sz w:val="24"/>
          <w:szCs w:val="24"/>
        </w:rPr>
        <w:t xml:space="preserve"> içinde, Ed. T. Todorov, Paris: Seuil, 1981.</w:t>
      </w:r>
    </w:p>
    <w:p w14:paraId="0447A8E8" w14:textId="6772207A" w:rsidR="00E81171" w:rsidRPr="00E97E0B" w:rsidRDefault="002858AE" w:rsidP="00E81171">
      <w:pPr>
        <w:spacing w:before="120" w:after="120" w:line="240" w:lineRule="auto"/>
        <w:jc w:val="both"/>
        <w:rPr>
          <w:rFonts w:ascii="Times New Roman" w:eastAsia="Calibri" w:hAnsi="Times New Roman" w:cs="Times New Roman"/>
          <w:sz w:val="24"/>
          <w:szCs w:val="24"/>
        </w:rPr>
      </w:pPr>
      <w:bookmarkStart w:id="266" w:name="_Hlk136297444"/>
      <w:r w:rsidRPr="00E97E0B">
        <w:rPr>
          <w:rFonts w:ascii="Times New Roman" w:eastAsia="Calibri" w:hAnsi="Times New Roman" w:cs="Times New Roman"/>
          <w:sz w:val="24"/>
          <w:szCs w:val="24"/>
          <w:lang w:val="en-US"/>
        </w:rPr>
        <w:t>Bastien</w:t>
      </w:r>
      <w:r w:rsidR="00235C7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François</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rPr>
        <w:t>Le Régime Politique de la Vème République</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5. Baskı, La Découverte, 2011</w:t>
      </w:r>
      <w:bookmarkEnd w:id="266"/>
      <w:r w:rsidRPr="00E97E0B">
        <w:rPr>
          <w:rFonts w:ascii="Times New Roman" w:eastAsia="Calibri" w:hAnsi="Times New Roman" w:cs="Times New Roman"/>
          <w:sz w:val="24"/>
          <w:szCs w:val="24"/>
        </w:rPr>
        <w:t>.</w:t>
      </w:r>
    </w:p>
    <w:p w14:paraId="7982BB03" w14:textId="160E380B"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Bauman</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Zygmunt.</w:t>
      </w:r>
      <w:r w:rsidRPr="00E97E0B">
        <w:rPr>
          <w:rFonts w:ascii="Times New Roman" w:eastAsia="Calibri" w:hAnsi="Times New Roman" w:cs="Times New Roman"/>
          <w:i/>
          <w:iCs/>
          <w:sz w:val="24"/>
          <w:szCs w:val="24"/>
        </w:rPr>
        <w:t xml:space="preserve"> Modernlik ve Müphemlik</w:t>
      </w:r>
      <w:r w:rsidR="009B5EA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9B5EA6" w:rsidRPr="00E97E0B">
        <w:rPr>
          <w:rFonts w:ascii="Times New Roman" w:eastAsia="Calibri" w:hAnsi="Times New Roman" w:cs="Times New Roman"/>
          <w:sz w:val="24"/>
          <w:szCs w:val="24"/>
        </w:rPr>
        <w:t>Ç</w:t>
      </w:r>
      <w:r w:rsidRPr="00E97E0B">
        <w:rPr>
          <w:rFonts w:ascii="Times New Roman" w:eastAsia="Calibri" w:hAnsi="Times New Roman" w:cs="Times New Roman"/>
          <w:sz w:val="24"/>
          <w:szCs w:val="24"/>
        </w:rPr>
        <w:t>ev. İsmail Türkmen, İstanbul: Ayrıntı Yayınları, 2003</w:t>
      </w:r>
    </w:p>
    <w:p w14:paraId="274D5914" w14:textId="76D52D37"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Becker</w:t>
      </w:r>
      <w:r w:rsidR="00235C7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Jean-Jacques</w:t>
      </w:r>
      <w:r w:rsidR="00235C7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rPr>
        <w:t>Histoire politique de la France depuis 1945</w:t>
      </w:r>
      <w:r w:rsidR="00AF74B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11. Baskı, France: Armand Colin, Haziran 2015</w:t>
      </w:r>
      <w:r w:rsidRPr="00E97E0B">
        <w:rPr>
          <w:rFonts w:ascii="Times New Roman" w:eastAsia="Calibri" w:hAnsi="Times New Roman" w:cs="Times New Roman"/>
          <w:sz w:val="24"/>
          <w:szCs w:val="24"/>
          <w:lang w:val="en-US"/>
        </w:rPr>
        <w:t>.</w:t>
      </w:r>
    </w:p>
    <w:p w14:paraId="5D5F18D3" w14:textId="5C145255"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67" w:name="_Hlk136297823"/>
      <w:r w:rsidRPr="00E97E0B">
        <w:rPr>
          <w:rFonts w:ascii="Times New Roman" w:eastAsia="Calibri" w:hAnsi="Times New Roman" w:cs="Times New Roman"/>
          <w:sz w:val="24"/>
          <w:szCs w:val="24"/>
          <w:lang w:val="en-US"/>
        </w:rPr>
        <w:t>Berkes</w:t>
      </w:r>
      <w:r w:rsidR="00235C7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Niyazi</w:t>
      </w:r>
      <w:r w:rsidR="00235C7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Türkiye’de Çağdaşlaşma</w:t>
      </w:r>
      <w:r w:rsidR="00AF74B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18. Baskı, İstanbul: Yapıkredi Yayınları, 2012</w:t>
      </w:r>
      <w:bookmarkEnd w:id="267"/>
    </w:p>
    <w:p w14:paraId="24483836" w14:textId="18F96E8C"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Best</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Steven ve </w:t>
      </w:r>
      <w:r w:rsidR="00496A30" w:rsidRPr="00E97E0B">
        <w:rPr>
          <w:rFonts w:ascii="Times New Roman" w:eastAsia="Calibri" w:hAnsi="Times New Roman" w:cs="Times New Roman"/>
          <w:sz w:val="24"/>
          <w:szCs w:val="24"/>
        </w:rPr>
        <w:t xml:space="preserve">Douglas </w:t>
      </w:r>
      <w:r w:rsidRPr="00E97E0B">
        <w:rPr>
          <w:rFonts w:ascii="Times New Roman" w:eastAsia="Calibri" w:hAnsi="Times New Roman" w:cs="Times New Roman"/>
          <w:sz w:val="24"/>
          <w:szCs w:val="24"/>
        </w:rPr>
        <w:t>Kellner</w:t>
      </w:r>
      <w:r w:rsidR="00496A30"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Postmodern Teori: Eleştirel Soruşturmalar</w:t>
      </w:r>
      <w:r w:rsidRPr="00E97E0B">
        <w:rPr>
          <w:rFonts w:ascii="Times New Roman" w:eastAsia="Calibri" w:hAnsi="Times New Roman" w:cs="Times New Roman"/>
          <w:sz w:val="24"/>
          <w:szCs w:val="24"/>
        </w:rPr>
        <w:t xml:space="preserve">, </w:t>
      </w:r>
      <w:r w:rsidR="009B5EA6" w:rsidRPr="00E97E0B">
        <w:rPr>
          <w:rFonts w:ascii="Times New Roman" w:eastAsia="Calibri" w:hAnsi="Times New Roman" w:cs="Times New Roman"/>
          <w:sz w:val="24"/>
          <w:szCs w:val="24"/>
        </w:rPr>
        <w:t>Ç</w:t>
      </w:r>
      <w:r w:rsidRPr="00E97E0B">
        <w:rPr>
          <w:rFonts w:ascii="Times New Roman" w:eastAsia="Calibri" w:hAnsi="Times New Roman" w:cs="Times New Roman"/>
          <w:sz w:val="24"/>
          <w:szCs w:val="24"/>
        </w:rPr>
        <w:t>ev. Mehmet Küçük, İstanbul: Ayrıntı Yayınları, 2016.</w:t>
      </w:r>
    </w:p>
    <w:p w14:paraId="01A13621" w14:textId="51A6135A"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Birkök</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Cüneyt</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“Modernizmden Postmodernizme: Yeni Problemler</w:t>
      </w:r>
      <w:r w:rsidR="009B5EA6"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sz w:val="24"/>
          <w:szCs w:val="24"/>
        </w:rPr>
        <w:t>Yeni Türkiye</w:t>
      </w:r>
      <w:r w:rsidRPr="00E97E0B">
        <w:rPr>
          <w:rFonts w:ascii="Times New Roman" w:eastAsia="Calibri" w:hAnsi="Times New Roman" w:cs="Times New Roman"/>
          <w:sz w:val="24"/>
          <w:szCs w:val="24"/>
        </w:rPr>
        <w:t>, S. 19, Ankara 1998.</w:t>
      </w:r>
    </w:p>
    <w:p w14:paraId="236A495B" w14:textId="10F577C3" w:rsidR="00235C77" w:rsidRPr="00E97E0B" w:rsidRDefault="00235C77"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Biteau, Aurélien. “Réflexion sur la solidarité et la charité.” 25.10.2011,</w:t>
      </w:r>
      <w:r w:rsidR="006D1896" w:rsidRPr="00E97E0B">
        <w:rPr>
          <w:rFonts w:ascii="Times New Roman" w:eastAsia="Calibri" w:hAnsi="Times New Roman" w:cs="Times New Roman"/>
          <w:sz w:val="24"/>
          <w:szCs w:val="24"/>
        </w:rPr>
        <w:t xml:space="preserve"> [Erişim: 10.05.2022].</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Contrepoints</w:t>
      </w:r>
      <w:r w:rsidRPr="00E97E0B">
        <w:rPr>
          <w:rFonts w:ascii="Times New Roman" w:eastAsia="Calibri" w:hAnsi="Times New Roman" w:cs="Times New Roman"/>
          <w:sz w:val="24"/>
          <w:szCs w:val="24"/>
        </w:rPr>
        <w:t xml:space="preserve">. https://www.contrepoints.org/2011/10/25/52281-reflexion-sur-la-solidarite-et-la-charite </w:t>
      </w:r>
    </w:p>
    <w:p w14:paraId="20A6408B" w14:textId="02FCE842"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Bolay</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Süleyman Hayri</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D271C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Postmodernizm</w:t>
      </w:r>
      <w:r w:rsidR="00D271CC" w:rsidRPr="00E97E0B">
        <w:rPr>
          <w:rFonts w:ascii="Times New Roman" w:eastAsia="Calibri" w:hAnsi="Times New Roman" w:cs="Times New Roman"/>
          <w:sz w:val="24"/>
          <w:szCs w:val="24"/>
        </w:rPr>
        <w:t>.”</w:t>
      </w:r>
      <w:r w:rsidR="00173C94" w:rsidRPr="00E97E0B">
        <w:rPr>
          <w:rFonts w:ascii="Times New Roman" w:eastAsia="Calibri" w:hAnsi="Times New Roman" w:cs="Times New Roman"/>
          <w:sz w:val="24"/>
          <w:szCs w:val="24"/>
        </w:rPr>
        <w:t xml:space="preserve"> Canaktan.org.</w:t>
      </w:r>
      <w:r w:rsidRPr="00E97E0B">
        <w:rPr>
          <w:rFonts w:ascii="Times New Roman" w:eastAsia="Calibri" w:hAnsi="Times New Roman" w:cs="Times New Roman"/>
          <w:sz w:val="24"/>
          <w:szCs w:val="24"/>
        </w:rPr>
        <w:t xml:space="preserve"> http://www.canaktan.org/felsefe-sosyo/post-modern/hayri-bolay.htm [Erişim: 15.11.2021].</w:t>
      </w:r>
    </w:p>
    <w:p w14:paraId="2506E2F3" w14:textId="36939818"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Bora</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Tanıl</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“Bir Çerçeve Denemesi,” </w:t>
      </w:r>
      <w:r w:rsidRPr="00E97E0B">
        <w:rPr>
          <w:rFonts w:ascii="Times New Roman" w:eastAsia="Calibri" w:hAnsi="Times New Roman" w:cs="Times New Roman"/>
          <w:i/>
          <w:iCs/>
          <w:sz w:val="24"/>
          <w:szCs w:val="24"/>
        </w:rPr>
        <w:t>Türk Sağı: Mitler Fetişler Düşman İmgeleri</w:t>
      </w:r>
      <w:r w:rsidRPr="00E97E0B">
        <w:rPr>
          <w:rFonts w:ascii="Times New Roman" w:eastAsia="Calibri" w:hAnsi="Times New Roman" w:cs="Times New Roman"/>
          <w:sz w:val="24"/>
          <w:szCs w:val="24"/>
        </w:rPr>
        <w:t xml:space="preserve"> içinde (der), İnci Özkan Kerestecioğlu ve Güven Gürkan Öztan, İstanbul: İletişim Yayınları, 2012</w:t>
      </w:r>
    </w:p>
    <w:p w14:paraId="143D4A13" w14:textId="40166BA0" w:rsidR="002858AE" w:rsidRPr="00E97E0B" w:rsidRDefault="00306599"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2858AE" w:rsidRPr="00E97E0B">
        <w:rPr>
          <w:rFonts w:ascii="Times New Roman" w:eastAsia="Calibri" w:hAnsi="Times New Roman" w:cs="Times New Roman"/>
          <w:i/>
          <w:sz w:val="24"/>
          <w:szCs w:val="24"/>
        </w:rPr>
        <w:t>Cerayanlar: Türkiye’de Siyasi İdeolojiler</w:t>
      </w:r>
      <w:r w:rsidR="009B5EA6" w:rsidRPr="00E97E0B">
        <w:rPr>
          <w:rFonts w:ascii="Times New Roman" w:eastAsia="Calibri" w:hAnsi="Times New Roman" w:cs="Times New Roman"/>
          <w:i/>
          <w:sz w:val="24"/>
          <w:szCs w:val="24"/>
        </w:rPr>
        <w:t>.</w:t>
      </w:r>
      <w:r w:rsidR="002858AE" w:rsidRPr="00E97E0B">
        <w:rPr>
          <w:rFonts w:ascii="Times New Roman" w:eastAsia="Calibri" w:hAnsi="Times New Roman" w:cs="Times New Roman"/>
          <w:i/>
          <w:sz w:val="24"/>
          <w:szCs w:val="24"/>
        </w:rPr>
        <w:t xml:space="preserve"> </w:t>
      </w:r>
      <w:r w:rsidR="002858AE" w:rsidRPr="00E97E0B">
        <w:rPr>
          <w:rFonts w:ascii="Times New Roman" w:eastAsia="Calibri" w:hAnsi="Times New Roman" w:cs="Times New Roman"/>
          <w:sz w:val="24"/>
          <w:szCs w:val="24"/>
        </w:rPr>
        <w:t>İstanbul: İletişim Yayınları, 2017.</w:t>
      </w:r>
    </w:p>
    <w:p w14:paraId="0E4F892B" w14:textId="1410EAE3"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68" w:name="_Hlk136298339"/>
      <w:r w:rsidRPr="00E97E0B">
        <w:rPr>
          <w:rFonts w:ascii="Times New Roman" w:eastAsia="Calibri" w:hAnsi="Times New Roman" w:cs="Times New Roman"/>
          <w:sz w:val="24"/>
          <w:szCs w:val="24"/>
          <w:lang w:val="en-US"/>
        </w:rPr>
        <w:t>Boratav</w:t>
      </w:r>
      <w:r w:rsidR="00235C7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Korkut</w:t>
      </w:r>
      <w:r w:rsidR="00235C7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“AKP’li Yıllarda Türkiye Ekonomisi</w:t>
      </w:r>
      <w:r w:rsidR="00692E3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AKP Kitabı Bir Dönüşümün Bilançosu (2002-2009)</w:t>
      </w:r>
      <w:r w:rsidRPr="00E97E0B">
        <w:rPr>
          <w:rFonts w:ascii="Times New Roman" w:eastAsia="Calibri" w:hAnsi="Times New Roman" w:cs="Times New Roman"/>
          <w:sz w:val="24"/>
          <w:szCs w:val="24"/>
          <w:lang w:val="en-US"/>
        </w:rPr>
        <w:t>, 3. Baskı, ed(s) İlhan Uzgel ve Bülent Duru</w:t>
      </w:r>
      <w:bookmarkEnd w:id="268"/>
      <w:r w:rsidRPr="00E97E0B">
        <w:rPr>
          <w:rFonts w:ascii="Times New Roman" w:eastAsia="Calibri" w:hAnsi="Times New Roman" w:cs="Times New Roman"/>
          <w:sz w:val="24"/>
          <w:szCs w:val="24"/>
          <w:lang w:val="en-US"/>
        </w:rPr>
        <w:t xml:space="preserve">. </w:t>
      </w:r>
    </w:p>
    <w:p w14:paraId="1C4DF2AE" w14:textId="0F2546E2"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Borella</w:t>
      </w:r>
      <w:r w:rsidR="00235C7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Vincent ve </w:t>
      </w:r>
      <w:r w:rsidR="00556943" w:rsidRPr="00E97E0B">
        <w:rPr>
          <w:rFonts w:ascii="Times New Roman" w:eastAsia="Calibri" w:hAnsi="Times New Roman" w:cs="Times New Roman"/>
          <w:sz w:val="24"/>
          <w:szCs w:val="24"/>
          <w:lang w:val="en-US"/>
        </w:rPr>
        <w:t xml:space="preserve">Kraine </w:t>
      </w:r>
      <w:r w:rsidRPr="00E97E0B">
        <w:rPr>
          <w:rFonts w:ascii="Times New Roman" w:eastAsia="Calibri" w:hAnsi="Times New Roman" w:cs="Times New Roman"/>
          <w:sz w:val="24"/>
          <w:szCs w:val="24"/>
          <w:lang w:val="en-US"/>
        </w:rPr>
        <w:t>Ramondy</w:t>
      </w:r>
      <w:r w:rsidR="00235C7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Institutions et vie politique en France depuis 1945</w:t>
      </w:r>
      <w:r w:rsidRPr="00E97E0B">
        <w:rPr>
          <w:rFonts w:ascii="Times New Roman" w:eastAsia="Calibri" w:hAnsi="Times New Roman" w:cs="Times New Roman"/>
          <w:sz w:val="24"/>
          <w:szCs w:val="24"/>
          <w:lang w:val="en-US"/>
        </w:rPr>
        <w:t>, Paris: Edition Ellipses, 2004.</w:t>
      </w:r>
    </w:p>
    <w:p w14:paraId="7563B3F1" w14:textId="40A1CA19"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Boucher</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David. “The Enemy with a Thousand Faces: The Tradition of the Other in Western Political Thought and History</w:t>
      </w:r>
      <w:r w:rsidR="00692E3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American Political Science Review</w:t>
      </w:r>
      <w:r w:rsidRPr="00E97E0B">
        <w:rPr>
          <w:rFonts w:ascii="Times New Roman" w:eastAsia="Calibri" w:hAnsi="Times New Roman" w:cs="Times New Roman"/>
          <w:sz w:val="24"/>
          <w:szCs w:val="24"/>
        </w:rPr>
        <w:t xml:space="preserve">, </w:t>
      </w:r>
      <w:r w:rsidR="00235C77"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96, S. 1, 2002.</w:t>
      </w:r>
    </w:p>
    <w:p w14:paraId="0CFB2BFD" w14:textId="26888AD6"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Bouvet Laurent. </w:t>
      </w:r>
      <w:r w:rsidR="00692E3A" w:rsidRPr="00E97E0B">
        <w:rPr>
          <w:rFonts w:ascii="Times New Roman" w:eastAsia="Calibri" w:hAnsi="Times New Roman" w:cs="Times New Roman"/>
          <w:sz w:val="24"/>
          <w:szCs w:val="24"/>
        </w:rPr>
        <w:t>“</w:t>
      </w:r>
      <w:r w:rsidR="00F42D2E" w:rsidRPr="00E97E0B">
        <w:rPr>
          <w:rFonts w:ascii="Times New Roman" w:eastAsia="Calibri" w:hAnsi="Times New Roman" w:cs="Times New Roman"/>
          <w:sz w:val="24"/>
          <w:szCs w:val="24"/>
        </w:rPr>
        <w:t>Multiculturalisme: les</w:t>
      </w:r>
      <w:r w:rsidRPr="00E97E0B">
        <w:rPr>
          <w:rFonts w:ascii="Times New Roman" w:eastAsia="Calibri" w:hAnsi="Times New Roman" w:cs="Times New Roman"/>
          <w:sz w:val="24"/>
          <w:szCs w:val="24"/>
        </w:rPr>
        <w:t xml:space="preserve"> trois erreurs de Sarkozy</w:t>
      </w:r>
      <w:r w:rsidR="00692E3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Telos</w:t>
      </w:r>
      <w:r w:rsidR="00692E3A"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https://www.telos-eu.com/fr/societe/culture/multiculturalisme-les-trois-erreurs-de-sarkozy.html [Erişim: 21.02.2022]</w:t>
      </w:r>
    </w:p>
    <w:p w14:paraId="1AD33558" w14:textId="7B56E533"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Burke</w:t>
      </w:r>
      <w:r w:rsidR="00235C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J. Peter ve </w:t>
      </w:r>
      <w:r w:rsidR="004B7008" w:rsidRPr="00E97E0B">
        <w:rPr>
          <w:rFonts w:ascii="Times New Roman" w:eastAsia="Calibri" w:hAnsi="Times New Roman" w:cs="Times New Roman"/>
          <w:sz w:val="24"/>
          <w:szCs w:val="24"/>
        </w:rPr>
        <w:t xml:space="preserve">E. Jan </w:t>
      </w:r>
      <w:r w:rsidRPr="00E97E0B">
        <w:rPr>
          <w:rFonts w:ascii="Times New Roman" w:eastAsia="Calibri" w:hAnsi="Times New Roman" w:cs="Times New Roman"/>
          <w:sz w:val="24"/>
          <w:szCs w:val="24"/>
        </w:rPr>
        <w:t>Stets</w:t>
      </w:r>
      <w:r w:rsidR="004B700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Identity Theory</w:t>
      </w:r>
      <w:r w:rsidR="00692E3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Oxford: Oxford University Press, 2009.</w:t>
      </w:r>
    </w:p>
    <w:p w14:paraId="33B23FCB" w14:textId="69E52C91"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Burr</w:t>
      </w:r>
      <w:r w:rsidR="002A6525"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Vivien</w:t>
      </w:r>
      <w:r w:rsidR="002A6525"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Social Constructivism,</w:t>
      </w:r>
      <w:r w:rsidRPr="00E97E0B">
        <w:rPr>
          <w:rFonts w:ascii="Times New Roman" w:eastAsia="Calibri" w:hAnsi="Times New Roman" w:cs="Times New Roman"/>
          <w:sz w:val="24"/>
          <w:szCs w:val="24"/>
        </w:rPr>
        <w:t xml:space="preserve"> Londra ve New York: Routledge, 2003.</w:t>
      </w:r>
    </w:p>
    <w:p w14:paraId="58462BE1" w14:textId="0446F69A"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Bussi</w:t>
      </w:r>
      <w:r w:rsidR="002A6525"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Michel ve Jérôme</w:t>
      </w:r>
      <w:r w:rsidR="00D364F2" w:rsidRPr="00E97E0B">
        <w:rPr>
          <w:rFonts w:ascii="Times New Roman" w:eastAsia="Calibri" w:hAnsi="Times New Roman" w:cs="Times New Roman"/>
          <w:sz w:val="24"/>
          <w:szCs w:val="24"/>
        </w:rPr>
        <w:t xml:space="preserve"> Fourquet.</w:t>
      </w:r>
      <w:r w:rsidRPr="00E97E0B">
        <w:rPr>
          <w:rFonts w:ascii="Times New Roman" w:eastAsia="Calibri" w:hAnsi="Times New Roman" w:cs="Times New Roman"/>
          <w:sz w:val="24"/>
          <w:szCs w:val="24"/>
        </w:rPr>
        <w:t xml:space="preserve"> “Elections présidentielles 2007: Neuf Cartes pour comprendre</w:t>
      </w:r>
      <w:r w:rsidR="00692E3A"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Revue française de Science Politique 57</w:t>
      </w:r>
      <w:r w:rsidRPr="00E97E0B">
        <w:rPr>
          <w:rFonts w:ascii="Times New Roman" w:eastAsia="Calibri" w:hAnsi="Times New Roman" w:cs="Times New Roman"/>
          <w:sz w:val="24"/>
          <w:szCs w:val="24"/>
        </w:rPr>
        <w:t>, S. 3 Presse de Science Po, , 2007.</w:t>
      </w:r>
    </w:p>
    <w:p w14:paraId="170E4E7A" w14:textId="2AE9E0B6"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Camus</w:t>
      </w:r>
      <w:r w:rsidR="002A6525"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Jean-Yves</w:t>
      </w:r>
      <w:r w:rsidR="002A6525"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“La France, Israel et les juifs français</w:t>
      </w:r>
      <w:r w:rsidR="00692E3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Revue Internationale et Stratégique</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xml:space="preserve"> 1 S. 77, 2010.</w:t>
      </w:r>
    </w:p>
    <w:p w14:paraId="73C4BD67" w14:textId="6C2CF861" w:rsidR="00F37717" w:rsidRPr="00E97E0B" w:rsidRDefault="00F37717" w:rsidP="00F37717">
      <w:pPr>
        <w:rPr>
          <w:rFonts w:ascii="Times New Roman" w:eastAsia="Times New Roman" w:hAnsi="Times New Roman" w:cs="Times New Roman"/>
          <w:sz w:val="24"/>
          <w:szCs w:val="24"/>
          <w:lang w:val="en-US"/>
        </w:rPr>
      </w:pPr>
      <w:r w:rsidRPr="00E97E0B">
        <w:rPr>
          <w:rFonts w:ascii="Times New Roman" w:eastAsia="Calibri" w:hAnsi="Times New Roman" w:cs="Times New Roman"/>
          <w:sz w:val="24"/>
          <w:szCs w:val="24"/>
        </w:rPr>
        <w:t>Centre de Documentation Juive Contemporaine. “Deux mille ans de présence juive en France</w:t>
      </w:r>
      <w:r w:rsidR="00692E3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Le Monde Juif</w:t>
      </w:r>
      <w:r w:rsidRPr="00E97E0B">
        <w:rPr>
          <w:rFonts w:ascii="Times New Roman" w:eastAsia="Calibri" w:hAnsi="Times New Roman" w:cs="Times New Roman"/>
          <w:sz w:val="24"/>
          <w:szCs w:val="24"/>
        </w:rPr>
        <w:t>, C. 144, S. 1, 1992</w:t>
      </w:r>
      <w:r w:rsidR="00692E3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Times New Roman" w:hAnsi="Times New Roman" w:cs="Times New Roman"/>
          <w:sz w:val="24"/>
          <w:szCs w:val="24"/>
          <w:lang w:val="en-US"/>
        </w:rPr>
        <w:t xml:space="preserve">https://www.cairn.info/revue--1992-1-page-17.htm. </w:t>
      </w:r>
    </w:p>
    <w:p w14:paraId="798A7BEB" w14:textId="6DD65ADD" w:rsidR="00657BE2" w:rsidRPr="00E97E0B" w:rsidRDefault="00657BE2" w:rsidP="00F37717">
      <w:pPr>
        <w:rPr>
          <w:rFonts w:ascii="Times New Roman" w:eastAsia="Times New Roman" w:hAnsi="Times New Roman" w:cs="Times New Roman"/>
          <w:sz w:val="24"/>
          <w:szCs w:val="24"/>
          <w:lang w:val="en-US"/>
        </w:rPr>
      </w:pPr>
      <w:r w:rsidRPr="00E97E0B">
        <w:rPr>
          <w:rFonts w:ascii="Times New Roman" w:eastAsia="Times New Roman" w:hAnsi="Times New Roman" w:cs="Times New Roman"/>
          <w:sz w:val="24"/>
          <w:szCs w:val="24"/>
          <w:lang w:val="en-US"/>
        </w:rPr>
        <w:t>CIA, “CIA: The World Factbook.” https://www.cia.gov/library/publications/the-world-factbook/geos/tu.html</w:t>
      </w:r>
    </w:p>
    <w:p w14:paraId="780BBBE9" w14:textId="09033B3C" w:rsidR="00C241BB" w:rsidRPr="00E97E0B" w:rsidRDefault="00C241BB"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Cumhuriyet. “Başbakan Erdoğan: Yargıya gerekeni söyledik.” 5.09.2012. [Erişim: 20.08.2022]. https://www.cumhuriyet.com.tr/haber/basbakan-erdogan-yargiya-gerekeni-soyledik-368660 </w:t>
      </w:r>
    </w:p>
    <w:p w14:paraId="1128C5A4" w14:textId="7EA9D8F5"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Chilton</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Paul</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Analysing Political Discourse</w:t>
      </w:r>
      <w:r w:rsidR="00692E3A" w:rsidRPr="00E97E0B">
        <w:rPr>
          <w:rFonts w:ascii="Times New Roman" w:eastAsia="Calibri" w:hAnsi="Times New Roman" w:cs="Times New Roman"/>
          <w:i/>
          <w:iCs/>
          <w:sz w:val="24"/>
          <w:szCs w:val="24"/>
        </w:rPr>
        <w:t>,</w:t>
      </w:r>
      <w:r w:rsidRPr="00E97E0B">
        <w:rPr>
          <w:rFonts w:ascii="Times New Roman" w:eastAsia="Calibri" w:hAnsi="Times New Roman" w:cs="Times New Roman"/>
          <w:i/>
          <w:iCs/>
          <w:sz w:val="24"/>
          <w:szCs w:val="24"/>
        </w:rPr>
        <w:t xml:space="preserve"> Theory and Practice</w:t>
      </w:r>
      <w:r w:rsidR="00692E3A"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London and New York: Routledge, 2003.</w:t>
      </w:r>
    </w:p>
    <w:p w14:paraId="6432CE16" w14:textId="3813F247"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Chomsky</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Noam</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Language and Mind</w:t>
      </w:r>
      <w:r w:rsidR="00587FC2" w:rsidRPr="00E97E0B">
        <w:rPr>
          <w:rFonts w:ascii="Times New Roman" w:eastAsia="Calibri" w:hAnsi="Times New Roman" w:cs="Times New Roman"/>
          <w:i/>
          <w:iCs/>
          <w:sz w:val="24"/>
          <w:szCs w:val="24"/>
        </w:rPr>
        <w:t>.</w:t>
      </w:r>
      <w:r w:rsidRPr="00E97E0B">
        <w:rPr>
          <w:rFonts w:ascii="Times New Roman" w:eastAsia="Calibri" w:hAnsi="Times New Roman" w:cs="Times New Roman"/>
          <w:i/>
          <w:iCs/>
          <w:sz w:val="24"/>
          <w:szCs w:val="24"/>
        </w:rPr>
        <w:t xml:space="preserve"> </w:t>
      </w:r>
      <w:r w:rsidRPr="00E97E0B">
        <w:rPr>
          <w:rFonts w:ascii="Times New Roman" w:eastAsia="Calibri" w:hAnsi="Times New Roman" w:cs="Times New Roman"/>
          <w:sz w:val="24"/>
          <w:szCs w:val="24"/>
        </w:rPr>
        <w:t>Cambridge: Cambridge University Press, 2006.</w:t>
      </w:r>
    </w:p>
    <w:p w14:paraId="38F8318A" w14:textId="73B565D0" w:rsidR="003E28BD" w:rsidRPr="00E97E0B" w:rsidRDefault="003E28BD"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CNN TÜRK. “Erdoğan’dan Ekümenik Çıkışı.” [Erişim 14.05.2010]. https://www.cnnturk.com/dunya/basbakan-erdogandan-ekumenik-cikisi [Erişim: 18.07.2022].</w:t>
      </w:r>
    </w:p>
    <w:p w14:paraId="406BF224" w14:textId="7C584685" w:rsidR="000B0C2E" w:rsidRPr="00E97E0B" w:rsidRDefault="000B0C2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CNRS Le Journal. “Qui sont vraiment les Roms de France?” 18.09.2017, [Erişim: 25.04.2022]. https://lejournal.cnrs.fr/articles/qui-sont-vraiment-les-roms-de-france</w:t>
      </w:r>
    </w:p>
    <w:p w14:paraId="08DAB8E9" w14:textId="4C1F61CF"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Cottam</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Martha L., </w:t>
      </w:r>
      <w:r w:rsidR="002453C4" w:rsidRPr="00E97E0B">
        <w:rPr>
          <w:rFonts w:ascii="Times New Roman" w:eastAsia="Calibri" w:hAnsi="Times New Roman" w:cs="Times New Roman"/>
          <w:sz w:val="24"/>
          <w:szCs w:val="24"/>
        </w:rPr>
        <w:t xml:space="preserve">Elena </w:t>
      </w:r>
      <w:r w:rsidRPr="00E97E0B">
        <w:rPr>
          <w:rFonts w:ascii="Times New Roman" w:eastAsia="Calibri" w:hAnsi="Times New Roman" w:cs="Times New Roman"/>
          <w:sz w:val="24"/>
          <w:szCs w:val="24"/>
        </w:rPr>
        <w:t xml:space="preserve">Mators, </w:t>
      </w:r>
      <w:r w:rsidR="002453C4" w:rsidRPr="00E97E0B">
        <w:rPr>
          <w:rFonts w:ascii="Times New Roman" w:eastAsia="Calibri" w:hAnsi="Times New Roman" w:cs="Times New Roman"/>
          <w:sz w:val="24"/>
          <w:szCs w:val="24"/>
        </w:rPr>
        <w:t xml:space="preserve">Thomas </w:t>
      </w:r>
      <w:r w:rsidRPr="00E97E0B">
        <w:rPr>
          <w:rFonts w:ascii="Times New Roman" w:eastAsia="Calibri" w:hAnsi="Times New Roman" w:cs="Times New Roman"/>
          <w:sz w:val="24"/>
          <w:szCs w:val="24"/>
        </w:rPr>
        <w:t>Preston ve Beth</w:t>
      </w:r>
      <w:r w:rsidR="002453C4" w:rsidRPr="00E97E0B">
        <w:rPr>
          <w:rFonts w:ascii="Times New Roman" w:eastAsia="Calibri" w:hAnsi="Times New Roman" w:cs="Times New Roman"/>
          <w:sz w:val="24"/>
          <w:szCs w:val="24"/>
        </w:rPr>
        <w:t xml:space="preserve"> Diez</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Siyaset Psikolojisine Giriş</w:t>
      </w:r>
      <w:r w:rsidR="00BE739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Çev: Mesut Şenol, Çev. </w:t>
      </w:r>
      <w:r w:rsidR="00BE7398" w:rsidRPr="00E97E0B">
        <w:rPr>
          <w:rFonts w:ascii="Times New Roman" w:eastAsia="Calibri" w:hAnsi="Times New Roman" w:cs="Times New Roman"/>
          <w:sz w:val="24"/>
          <w:szCs w:val="24"/>
        </w:rPr>
        <w:t>E</w:t>
      </w:r>
      <w:r w:rsidRPr="00E97E0B">
        <w:rPr>
          <w:rFonts w:ascii="Times New Roman" w:eastAsia="Calibri" w:hAnsi="Times New Roman" w:cs="Times New Roman"/>
          <w:sz w:val="24"/>
          <w:szCs w:val="24"/>
        </w:rPr>
        <w:t>d. Ebru Altınoğlu, Ankara: BB101 Yayınları, 2017.</w:t>
      </w:r>
    </w:p>
    <w:p w14:paraId="49F4700D" w14:textId="29449DB2"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w:eastAsia="Calibri" w:hAnsi="Times" w:cs="Times New Roman"/>
          <w:sz w:val="24"/>
          <w:szCs w:val="24"/>
          <w:lang w:val="en-US"/>
        </w:rPr>
        <w:t>Culler</w:t>
      </w:r>
      <w:r w:rsidR="00587FC2" w:rsidRPr="00E97E0B">
        <w:rPr>
          <w:rFonts w:ascii="Times" w:eastAsia="Calibri" w:hAnsi="Times" w:cs="Times New Roman"/>
          <w:sz w:val="24"/>
          <w:szCs w:val="24"/>
          <w:lang w:val="en-US"/>
        </w:rPr>
        <w:t>,</w:t>
      </w:r>
      <w:r w:rsidRPr="00E97E0B">
        <w:rPr>
          <w:rFonts w:ascii="Times" w:eastAsia="Calibri" w:hAnsi="Times" w:cs="Times New Roman"/>
          <w:sz w:val="24"/>
          <w:szCs w:val="24"/>
          <w:lang w:val="en-US"/>
        </w:rPr>
        <w:t xml:space="preserve"> Jonathan</w:t>
      </w:r>
      <w:r w:rsidR="00587FC2" w:rsidRPr="00E97E0B">
        <w:rPr>
          <w:rFonts w:ascii="Times" w:eastAsia="Calibri" w:hAnsi="Times" w:cs="Times New Roman"/>
          <w:sz w:val="24"/>
          <w:szCs w:val="24"/>
          <w:lang w:val="en-US"/>
        </w:rPr>
        <w:t>.</w:t>
      </w:r>
      <w:r w:rsidRPr="00E97E0B">
        <w:rPr>
          <w:rFonts w:ascii="Times" w:eastAsia="Calibri" w:hAnsi="Times" w:cs="Times New Roman"/>
          <w:sz w:val="24"/>
          <w:szCs w:val="24"/>
          <w:lang w:val="en-US"/>
        </w:rPr>
        <w:t xml:space="preserve"> </w:t>
      </w:r>
      <w:r w:rsidRPr="00E97E0B">
        <w:rPr>
          <w:rFonts w:ascii="Times" w:eastAsia="Calibri" w:hAnsi="Times" w:cs="Times New Roman"/>
          <w:i/>
          <w:iCs/>
          <w:sz w:val="24"/>
          <w:szCs w:val="24"/>
          <w:lang w:val="en-US"/>
        </w:rPr>
        <w:t>On Deconstruction: Theory and Criticism after Structuralism</w:t>
      </w:r>
      <w:r w:rsidR="00AF4BDA" w:rsidRPr="00E97E0B">
        <w:rPr>
          <w:rFonts w:ascii="Times" w:eastAsia="Calibri" w:hAnsi="Times" w:cs="Times New Roman"/>
          <w:sz w:val="24"/>
          <w:szCs w:val="24"/>
          <w:lang w:val="en-US"/>
        </w:rPr>
        <w:t>.</w:t>
      </w:r>
      <w:r w:rsidRPr="00E97E0B">
        <w:rPr>
          <w:rFonts w:ascii="Times" w:eastAsia="Calibri" w:hAnsi="Times" w:cs="Times New Roman"/>
          <w:sz w:val="24"/>
          <w:szCs w:val="24"/>
          <w:lang w:val="en-US"/>
        </w:rPr>
        <w:t xml:space="preserve"> Cornell University Press, 4. Baskı, New York, 1985.</w:t>
      </w:r>
    </w:p>
    <w:p w14:paraId="417B7F69" w14:textId="402C07A5" w:rsidR="002858AE" w:rsidRPr="00E97E0B" w:rsidRDefault="002858AE" w:rsidP="002858AE">
      <w:pPr>
        <w:spacing w:before="240" w:after="24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i/>
          <w:iCs/>
          <w:sz w:val="24"/>
          <w:szCs w:val="24"/>
          <w:lang w:val="en-US"/>
        </w:rPr>
        <w:t>Crafting State-Nations: India and Other Multinational Democracies</w:t>
      </w:r>
      <w:r w:rsidRPr="00E97E0B">
        <w:rPr>
          <w:rFonts w:ascii="Times New Roman" w:eastAsia="Calibri" w:hAnsi="Times New Roman" w:cs="Times New Roman"/>
          <w:sz w:val="24"/>
          <w:szCs w:val="24"/>
          <w:lang w:val="en-US"/>
        </w:rPr>
        <w:t xml:space="preserve"> içinde, The Johns Hopkins University Press, 2011.</w:t>
      </w:r>
    </w:p>
    <w:p w14:paraId="57CA6BF5" w14:textId="58A8078C" w:rsidR="00953B6B" w:rsidRPr="00E97E0B" w:rsidRDefault="000374B2" w:rsidP="000374B2">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CREDOC. “L'action des collectivités territoriales en matière de transition écologique vue par les citoyens - Note de synthèse.” Juin 2022, [Erişim 24.12.2022</w:t>
      </w:r>
      <w:r w:rsidRPr="00E97E0B">
        <w:rPr>
          <w:rFonts w:ascii="Times" w:eastAsia="Calibri" w:hAnsi="Times" w:cs="Times New Roman"/>
          <w:sz w:val="24"/>
          <w:szCs w:val="24"/>
          <w:lang w:val="en-US"/>
        </w:rPr>
        <w:t>]</w:t>
      </w:r>
      <w:r w:rsidRPr="00E97E0B">
        <w:rPr>
          <w:rFonts w:ascii="Times New Roman" w:eastAsia="Calibri" w:hAnsi="Times New Roman" w:cs="Times New Roman"/>
          <w:sz w:val="24"/>
          <w:szCs w:val="24"/>
          <w:lang w:val="en-US"/>
        </w:rPr>
        <w:t xml:space="preserve">. https://www.credoc.fr/publications/laction-des-collectivites-territoriales-en-matiere-de-transition-ecologique-vue-par-les-citoyens-note-de-synthese </w:t>
      </w:r>
    </w:p>
    <w:p w14:paraId="41365BE1" w14:textId="3AA0AE50" w:rsidR="008868F0" w:rsidRPr="00E97E0B" w:rsidRDefault="008868F0" w:rsidP="000374B2">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CREDOC, “Agence Nationale de la Cohésion des Territoires, Action des collectivités territoriales en matière de la transition écologique vue par les citoyens: Synthèse d’une étude réalisée par le Credoc pour l’ANCT.” Haziran 2022. [Erişim 24.12.2022</w:t>
      </w:r>
      <w:r w:rsidRPr="00E97E0B">
        <w:rPr>
          <w:rFonts w:ascii="Times" w:eastAsia="Calibri" w:hAnsi="Times" w:cs="Times New Roman"/>
          <w:sz w:val="24"/>
          <w:szCs w:val="24"/>
          <w:lang w:val="en-US"/>
        </w:rPr>
        <w:t>].</w:t>
      </w:r>
      <w:r w:rsidRPr="00E97E0B">
        <w:rPr>
          <w:rFonts w:ascii="Times New Roman" w:eastAsia="Calibri" w:hAnsi="Times New Roman" w:cs="Times New Roman"/>
          <w:sz w:val="24"/>
          <w:szCs w:val="24"/>
          <w:lang w:val="en-US"/>
        </w:rPr>
        <w:t xml:space="preserve"> https://www.credoc.fr/publications/laction-des-collectivites-territoriales-en-matiere-de-transition-ecologique-vue-par-les-citoyens-note-de-synthese </w:t>
      </w:r>
    </w:p>
    <w:p w14:paraId="1C501A56" w14:textId="77777777" w:rsidR="00A72C67" w:rsidRPr="00E97E0B" w:rsidRDefault="00A72C67" w:rsidP="00A72C67">
      <w:pPr>
        <w:spacing w:before="120" w:after="120" w:line="240" w:lineRule="auto"/>
        <w:jc w:val="both"/>
        <w:rPr>
          <w:rFonts w:ascii="Times New Roman" w:eastAsia="Calibri" w:hAnsi="Times New Roman" w:cs="Times New Roman"/>
          <w:sz w:val="24"/>
          <w:szCs w:val="24"/>
        </w:rPr>
      </w:pPr>
      <w:bookmarkStart w:id="269" w:name="_Hlk136298277"/>
      <w:r w:rsidRPr="00E97E0B">
        <w:rPr>
          <w:rFonts w:ascii="Times New Roman" w:eastAsia="Calibri" w:hAnsi="Times New Roman" w:cs="Times New Roman"/>
          <w:sz w:val="24"/>
          <w:szCs w:val="24"/>
          <w:lang w:val="en-US"/>
        </w:rPr>
        <w:t xml:space="preserve">Çakır, Enes Malik. “1991 – 2002 Yılları Arasında Koalisyon Hükümetleri Yönetimi,” </w:t>
      </w:r>
      <w:r w:rsidRPr="00E97E0B">
        <w:rPr>
          <w:rFonts w:ascii="Times New Roman" w:eastAsia="Calibri" w:hAnsi="Times New Roman" w:cs="Times New Roman"/>
          <w:i/>
          <w:iCs/>
          <w:sz w:val="24"/>
          <w:szCs w:val="24"/>
        </w:rPr>
        <w:t>IBAD Sosyal Bilimler Dergisi,</w:t>
      </w:r>
      <w:r w:rsidRPr="00E97E0B">
        <w:rPr>
          <w:rFonts w:ascii="Times New Roman" w:eastAsia="Calibri" w:hAnsi="Times New Roman" w:cs="Times New Roman"/>
          <w:sz w:val="24"/>
          <w:szCs w:val="24"/>
        </w:rPr>
        <w:t xml:space="preserve"> S. 6, 2020</w:t>
      </w:r>
      <w:bookmarkEnd w:id="269"/>
      <w:r w:rsidRPr="00E97E0B">
        <w:rPr>
          <w:rFonts w:ascii="Times New Roman" w:eastAsia="Calibri" w:hAnsi="Times New Roman" w:cs="Times New Roman"/>
          <w:sz w:val="24"/>
          <w:szCs w:val="24"/>
        </w:rPr>
        <w:t>.</w:t>
      </w:r>
    </w:p>
    <w:p w14:paraId="480F11B6" w14:textId="4ED54351" w:rsidR="00A72C67" w:rsidRPr="00E97E0B" w:rsidRDefault="00A72C67" w:rsidP="00A72C67">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Çakmak, Fatma ve </w:t>
      </w:r>
      <w:r w:rsidR="00AF4BDA" w:rsidRPr="00E97E0B">
        <w:rPr>
          <w:rFonts w:ascii="Times New Roman" w:eastAsia="Calibri" w:hAnsi="Times New Roman" w:cs="Times New Roman"/>
          <w:sz w:val="24"/>
          <w:szCs w:val="24"/>
        </w:rPr>
        <w:t xml:space="preserve">Yasemin </w:t>
      </w:r>
      <w:r w:rsidRPr="00E97E0B">
        <w:rPr>
          <w:rFonts w:ascii="Times New Roman" w:eastAsia="Calibri" w:hAnsi="Times New Roman" w:cs="Times New Roman"/>
          <w:sz w:val="24"/>
          <w:szCs w:val="24"/>
        </w:rPr>
        <w:t>Bilişli. “İdeoloji Söylem ve İletişim Çalışmalarında Ruth Wodak</w:t>
      </w:r>
      <w:r w:rsidR="00AF4BD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Anadolu Üniversitesi Sosyal Bilimler Dergisi,</w:t>
      </w:r>
      <w:r w:rsidRPr="00E97E0B">
        <w:rPr>
          <w:rFonts w:ascii="Times New Roman" w:eastAsia="Calibri" w:hAnsi="Times New Roman" w:cs="Times New Roman"/>
          <w:sz w:val="24"/>
          <w:szCs w:val="24"/>
        </w:rPr>
        <w:t xml:space="preserve"> C.19, S. 2, Eskişehir, 2019.</w:t>
      </w:r>
    </w:p>
    <w:p w14:paraId="05273D00" w14:textId="7E28A04B" w:rsidR="00A72C67" w:rsidRPr="00E97E0B" w:rsidRDefault="00A72C67" w:rsidP="00A72C67">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Çelik, Ezgi Ece. “Gadamer’in Hermeneutik Ufku ve Nietzsche’nin Perspektivizmi</w:t>
      </w:r>
      <w:r w:rsidR="00AF4BD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Felsefe ve Sosyal Bilimler Dergisi</w:t>
      </w:r>
      <w:r w:rsidRPr="00E97E0B">
        <w:rPr>
          <w:rFonts w:ascii="Times New Roman" w:eastAsia="Calibri" w:hAnsi="Times New Roman" w:cs="Times New Roman"/>
          <w:sz w:val="24"/>
          <w:szCs w:val="24"/>
        </w:rPr>
        <w:t>, S. 15, Isparta, 2013.</w:t>
      </w:r>
    </w:p>
    <w:p w14:paraId="414C045C" w14:textId="1F2EC114" w:rsidR="00A72C67" w:rsidRPr="00E97E0B" w:rsidRDefault="00A72C67" w:rsidP="00A72C67">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Çelik, Hilal ve </w:t>
      </w:r>
      <w:r w:rsidR="00AF4BDA" w:rsidRPr="00E97E0B">
        <w:rPr>
          <w:rFonts w:ascii="Times New Roman" w:eastAsia="Calibri" w:hAnsi="Times New Roman" w:cs="Times New Roman"/>
          <w:sz w:val="24"/>
          <w:szCs w:val="24"/>
        </w:rPr>
        <w:t xml:space="preserve">Halil </w:t>
      </w:r>
      <w:r w:rsidRPr="00E97E0B">
        <w:rPr>
          <w:rFonts w:ascii="Times New Roman" w:eastAsia="Calibri" w:hAnsi="Times New Roman" w:cs="Times New Roman"/>
          <w:sz w:val="24"/>
          <w:szCs w:val="24"/>
        </w:rPr>
        <w:t xml:space="preserve">Ekşi. “Söylem Analizi,” </w:t>
      </w:r>
      <w:r w:rsidRPr="00E97E0B">
        <w:rPr>
          <w:rFonts w:ascii="Times New Roman" w:eastAsia="Calibri" w:hAnsi="Times New Roman" w:cs="Times New Roman"/>
          <w:i/>
          <w:iCs/>
          <w:sz w:val="24"/>
          <w:szCs w:val="24"/>
        </w:rPr>
        <w:t>Marmara Üniversitesi Atatürk Eğitim Fakültesi Dergisi,</w:t>
      </w:r>
      <w:r w:rsidRPr="00E97E0B">
        <w:rPr>
          <w:rFonts w:ascii="Times New Roman" w:eastAsia="Calibri" w:hAnsi="Times New Roman" w:cs="Times New Roman"/>
          <w:sz w:val="24"/>
          <w:szCs w:val="24"/>
        </w:rPr>
        <w:t xml:space="preserve"> C.27, S. 29, İstanbul, 2008.</w:t>
      </w:r>
    </w:p>
    <w:p w14:paraId="5D9F7FD8" w14:textId="5CFBF63A" w:rsidR="00B3611B" w:rsidRPr="00E97E0B" w:rsidRDefault="00B3611B"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Dailymotion. “Nicolas Sarkozy et l'immigration: changement de ton.” [Erişim: 10.09.2021]. https://www.dailymotion.com/video/xeebsm  </w:t>
      </w:r>
    </w:p>
    <w:p w14:paraId="49220528" w14:textId="51DC31BB" w:rsidR="00953B6B" w:rsidRPr="00E97E0B" w:rsidRDefault="00953B6B"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De Beaugrande, Robert-Alain ve Wolfgang Dressler. “Introduction to Text Linguistics</w:t>
      </w:r>
      <w:r w:rsidR="00AB783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1981, XIV Congress of Linguists, Berlin 1987, Universität Wien.</w:t>
      </w:r>
    </w:p>
    <w:p w14:paraId="21FE980D" w14:textId="3DCFE06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Delwit</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Pascal</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sz w:val="24"/>
          <w:szCs w:val="24"/>
        </w:rPr>
        <w:t>Les Partis Politiques en France</w:t>
      </w:r>
      <w:r w:rsidR="006776CB"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Bruxelles, Editions de l’Université de Bruxelles, 2014.</w:t>
      </w:r>
    </w:p>
    <w:p w14:paraId="3F1BEA30" w14:textId="200A40E1"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Demir</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Gülsen ve </w:t>
      </w:r>
      <w:r w:rsidR="005D30A6" w:rsidRPr="00E97E0B">
        <w:rPr>
          <w:rFonts w:ascii="Times New Roman" w:eastAsia="Calibri" w:hAnsi="Times New Roman" w:cs="Times New Roman"/>
          <w:sz w:val="24"/>
          <w:szCs w:val="24"/>
        </w:rPr>
        <w:t xml:space="preserve">Semra </w:t>
      </w:r>
      <w:r w:rsidRPr="00E97E0B">
        <w:rPr>
          <w:rFonts w:ascii="Times New Roman" w:eastAsia="Calibri" w:hAnsi="Times New Roman" w:cs="Times New Roman"/>
          <w:sz w:val="24"/>
          <w:szCs w:val="24"/>
        </w:rPr>
        <w:t>Bolat</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“Çerkeslerde Kimlik ve Aidiyet</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sz w:val="24"/>
          <w:szCs w:val="24"/>
        </w:rPr>
        <w:t>Sosyoloji Konferansları</w:t>
      </w:r>
      <w:r w:rsidRPr="00E97E0B">
        <w:rPr>
          <w:rFonts w:ascii="Times New Roman" w:eastAsia="Calibri" w:hAnsi="Times New Roman" w:cs="Times New Roman"/>
          <w:sz w:val="24"/>
          <w:szCs w:val="24"/>
        </w:rPr>
        <w:t>, S. 55, 2017.</w:t>
      </w:r>
    </w:p>
    <w:p w14:paraId="28D0D86D" w14:textId="0AC90ECC"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Desol</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Chantal</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Bertrand</w:t>
      </w:r>
      <w:r w:rsidR="009C219A" w:rsidRPr="00E97E0B">
        <w:rPr>
          <w:rFonts w:ascii="Times New Roman" w:eastAsia="Calibri" w:hAnsi="Times New Roman" w:cs="Times New Roman"/>
          <w:sz w:val="24"/>
          <w:szCs w:val="24"/>
        </w:rPr>
        <w:t xml:space="preserve"> Alliot</w:t>
      </w:r>
      <w:r w:rsidRPr="00E97E0B">
        <w:rPr>
          <w:rFonts w:ascii="Times New Roman" w:eastAsia="Calibri" w:hAnsi="Times New Roman" w:cs="Times New Roman"/>
          <w:sz w:val="24"/>
          <w:szCs w:val="24"/>
        </w:rPr>
        <w:t xml:space="preserve"> ve </w:t>
      </w:r>
      <w:r w:rsidR="009C219A" w:rsidRPr="00E97E0B">
        <w:rPr>
          <w:rFonts w:ascii="Times New Roman" w:eastAsia="Calibri" w:hAnsi="Times New Roman" w:cs="Times New Roman"/>
          <w:sz w:val="24"/>
          <w:szCs w:val="24"/>
        </w:rPr>
        <w:t xml:space="preserve">Sergui </w:t>
      </w:r>
      <w:r w:rsidRPr="00E97E0B">
        <w:rPr>
          <w:rFonts w:ascii="Times New Roman" w:eastAsia="Calibri" w:hAnsi="Times New Roman" w:cs="Times New Roman"/>
          <w:sz w:val="24"/>
          <w:szCs w:val="24"/>
        </w:rPr>
        <w:t>Mi</w:t>
      </w:r>
      <w:r w:rsidR="009C219A" w:rsidRPr="00E97E0B">
        <w:rPr>
          <w:rFonts w:ascii="Times New Roman" w:eastAsia="Calibri" w:hAnsi="Times New Roman" w:cs="Times New Roman"/>
          <w:sz w:val="24"/>
          <w:szCs w:val="24"/>
        </w:rPr>
        <w:t>s</w:t>
      </w:r>
      <w:r w:rsidRPr="00E97E0B">
        <w:rPr>
          <w:rFonts w:ascii="Times New Roman" w:eastAsia="Calibri" w:hAnsi="Times New Roman" w:cs="Times New Roman"/>
          <w:sz w:val="24"/>
          <w:szCs w:val="24"/>
        </w:rPr>
        <w:t>coiu</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Identités politiques et dynamiques partisanes en France</w:t>
      </w:r>
      <w:r w:rsidR="000A540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Edition de la Fondation pour les études européennes (EFES), 2009.</w:t>
      </w:r>
    </w:p>
    <w:p w14:paraId="6F0B8B09" w14:textId="554267D1"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Dikmen</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Mustafa</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“Jean Baudrillard ve Postmodernizm</w:t>
      </w:r>
      <w:r w:rsidR="000A540A"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Uludağ Üniversitesi, Yüksek Lisans Tezi, 2016.</w:t>
      </w:r>
    </w:p>
    <w:p w14:paraId="3D5DA254" w14:textId="57A91BAD"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70" w:name="_Hlk136298507"/>
      <w:r w:rsidRPr="00E97E0B">
        <w:rPr>
          <w:rFonts w:ascii="Times New Roman" w:eastAsia="Calibri" w:hAnsi="Times New Roman" w:cs="Times New Roman"/>
          <w:sz w:val="24"/>
          <w:szCs w:val="24"/>
          <w:lang w:val="en-US"/>
        </w:rPr>
        <w:t>Dittgen</w:t>
      </w:r>
      <w:r w:rsidR="00587FC2"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Alfred. “Religions et démographie en France. Des évolutions contrastées</w:t>
      </w:r>
      <w:r w:rsidR="000A540A" w:rsidRPr="00E97E0B">
        <w:rPr>
          <w:rFonts w:ascii="Times New Roman" w:eastAsia="Calibri" w:hAnsi="Times New Roman" w:cs="Times New Roman"/>
          <w:sz w:val="24"/>
          <w:szCs w:val="24"/>
          <w:lang w:val="en-US"/>
        </w:rPr>
        <w:t>.</w:t>
      </w:r>
      <w:r w:rsidR="006617F6"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Population &amp; Avenir</w:t>
      </w:r>
      <w:r w:rsidRPr="00E97E0B">
        <w:rPr>
          <w:rFonts w:ascii="Times New Roman" w:eastAsia="Calibri" w:hAnsi="Times New Roman" w:cs="Times New Roman"/>
          <w:sz w:val="24"/>
          <w:szCs w:val="24"/>
          <w:lang w:val="en-US"/>
        </w:rPr>
        <w:t>, C. 684, S. 4, (Paris, 2007), 14-18, 18.</w:t>
      </w:r>
      <w:bookmarkEnd w:id="270"/>
    </w:p>
    <w:p w14:paraId="4C293A2B" w14:textId="59FC8912"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Doğanay</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Taylan Can</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“Adalet ve Kalkınma Partisi’nin Muktedir İktidarı ve Sistem Meşrulaştırması</w:t>
      </w:r>
      <w:r w:rsidR="006D2BCC"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KMÜ Sosyal ve Ekonomik Araştırmalar Dergisi</w:t>
      </w:r>
      <w:r w:rsidRPr="00E97E0B">
        <w:rPr>
          <w:rFonts w:ascii="Times New Roman" w:eastAsia="Calibri" w:hAnsi="Times New Roman" w:cs="Times New Roman"/>
          <w:sz w:val="24"/>
          <w:szCs w:val="24"/>
        </w:rPr>
        <w:t xml:space="preserve">, </w:t>
      </w:r>
      <w:r w:rsidR="00761D49"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16 S. 27, Konya, 2014.</w:t>
      </w:r>
    </w:p>
    <w:p w14:paraId="64A972AA" w14:textId="589B8C09" w:rsidR="002858AE" w:rsidRPr="00E97E0B" w:rsidRDefault="002858AE" w:rsidP="002858AE">
      <w:pPr>
        <w:spacing w:before="240" w:after="240" w:line="240" w:lineRule="auto"/>
        <w:jc w:val="both"/>
        <w:rPr>
          <w:rFonts w:ascii="Times New Roman" w:eastAsia="Calibri" w:hAnsi="Times New Roman" w:cs="Times New Roman"/>
          <w:i/>
          <w:iCs/>
          <w:sz w:val="24"/>
          <w:szCs w:val="24"/>
        </w:rPr>
      </w:pPr>
      <w:r w:rsidRPr="00E97E0B">
        <w:rPr>
          <w:rFonts w:ascii="Times New Roman" w:eastAsia="Calibri" w:hAnsi="Times New Roman" w:cs="Times New Roman"/>
          <w:sz w:val="24"/>
          <w:szCs w:val="24"/>
        </w:rPr>
        <w:t>Doyumğaç</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İbrahim</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Söylem Kavramı ve Metin İlişkisi, </w:t>
      </w:r>
      <w:r w:rsidRPr="00E97E0B">
        <w:rPr>
          <w:rFonts w:ascii="Times New Roman" w:eastAsia="Calibri" w:hAnsi="Times New Roman" w:cs="Times New Roman"/>
          <w:i/>
          <w:iCs/>
          <w:sz w:val="24"/>
          <w:szCs w:val="24"/>
        </w:rPr>
        <w:t>Internation Journal of Language Academy</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xml:space="preserve"> 6, S. 1, Mart 2018. </w:t>
      </w:r>
    </w:p>
    <w:p w14:paraId="53A0C4F0" w14:textId="6928813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Doyuran</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Levent</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“Medyatik Bir Çalışma Alanı Olarak Eleştirel Söylem Çözümlemesi (Televizyon Dizileri Örneğinde)</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Erciyes İletişim Dergisi</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5, s.4, Kayseri, 2018.</w:t>
      </w:r>
    </w:p>
    <w:p w14:paraId="59B01B94" w14:textId="1FEBCEC6"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Dubois</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Jacques</w:t>
      </w:r>
      <w:r w:rsidR="00587FC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“Code, texte, métatexte</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Littérature Décembre 1973</w:t>
      </w:r>
      <w:r w:rsidRPr="00E97E0B">
        <w:rPr>
          <w:rFonts w:ascii="Times New Roman" w:eastAsia="Calibri" w:hAnsi="Times New Roman" w:cs="Times New Roman"/>
          <w:sz w:val="24"/>
          <w:szCs w:val="24"/>
        </w:rPr>
        <w:t>. Paris, 1973.</w:t>
      </w:r>
    </w:p>
    <w:p w14:paraId="541EE849" w14:textId="62676740"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Durna</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Tezcan ve </w:t>
      </w:r>
      <w:r w:rsidR="006D2BCC" w:rsidRPr="00E97E0B">
        <w:rPr>
          <w:rFonts w:ascii="Times New Roman" w:eastAsia="Calibri" w:hAnsi="Times New Roman" w:cs="Times New Roman"/>
          <w:sz w:val="24"/>
          <w:szCs w:val="24"/>
        </w:rPr>
        <w:t xml:space="preserve">Çağla </w:t>
      </w:r>
      <w:r w:rsidRPr="00E97E0B">
        <w:rPr>
          <w:rFonts w:ascii="Times New Roman" w:eastAsia="Calibri" w:hAnsi="Times New Roman" w:cs="Times New Roman"/>
          <w:sz w:val="24"/>
          <w:szCs w:val="24"/>
        </w:rPr>
        <w:t>Kubilay</w:t>
      </w:r>
      <w:r w:rsidR="006D2BC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“Söylem Kuramları ve Eleştirel Söylem Çözümlemesi</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içinde </w:t>
      </w:r>
      <w:r w:rsidRPr="00E97E0B">
        <w:rPr>
          <w:rFonts w:ascii="Times New Roman" w:eastAsia="Calibri" w:hAnsi="Times New Roman" w:cs="Times New Roman"/>
          <w:i/>
          <w:iCs/>
          <w:sz w:val="24"/>
          <w:szCs w:val="24"/>
        </w:rPr>
        <w:t>Medyadan Söylemler</w:t>
      </w:r>
      <w:r w:rsidRPr="00E97E0B">
        <w:rPr>
          <w:rFonts w:ascii="Times New Roman" w:eastAsia="Calibri" w:hAnsi="Times New Roman" w:cs="Times New Roman"/>
          <w:sz w:val="24"/>
          <w:szCs w:val="24"/>
        </w:rPr>
        <w:t xml:space="preserve">, </w:t>
      </w:r>
      <w:r w:rsidR="002B0EC7" w:rsidRPr="00E97E0B">
        <w:rPr>
          <w:rFonts w:ascii="Times New Roman" w:eastAsia="Calibri" w:hAnsi="Times New Roman" w:cs="Times New Roman"/>
          <w:sz w:val="24"/>
          <w:szCs w:val="24"/>
        </w:rPr>
        <w:t>Ed.</w:t>
      </w:r>
      <w:r w:rsidRPr="00E97E0B">
        <w:rPr>
          <w:rFonts w:ascii="Times New Roman" w:eastAsia="Calibri" w:hAnsi="Times New Roman" w:cs="Times New Roman"/>
          <w:sz w:val="24"/>
          <w:szCs w:val="24"/>
        </w:rPr>
        <w:t xml:space="preserve"> Tezcan Durna, İstanbul: Libra Kitap, 2010.</w:t>
      </w:r>
    </w:p>
    <w:p w14:paraId="40C22B76" w14:textId="04CCFB78"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Eagleton</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Terry</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İdeoloji</w:t>
      </w:r>
      <w:r w:rsidR="001E6F7E" w:rsidRPr="00E97E0B">
        <w:rPr>
          <w:rFonts w:ascii="Times New Roman" w:eastAsia="Calibri" w:hAnsi="Times New Roman" w:cs="Times New Roman"/>
          <w:i/>
          <w:iCs/>
          <w:sz w:val="24"/>
          <w:szCs w:val="24"/>
        </w:rPr>
        <w:t>.</w:t>
      </w:r>
      <w:r w:rsidRPr="00E97E0B">
        <w:rPr>
          <w:rFonts w:ascii="Times New Roman" w:eastAsia="Calibri" w:hAnsi="Times New Roman" w:cs="Times New Roman"/>
          <w:sz w:val="24"/>
          <w:szCs w:val="24"/>
        </w:rPr>
        <w:t xml:space="preserve"> İstanbul: Ayrıntı Kitabevi, 1996.</w:t>
      </w:r>
    </w:p>
    <w:p w14:paraId="740A19C4" w14:textId="4D36A526"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Ecevitoğlu</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Pınar. “Aleviliği Tanımlamanın Dayanılmaz Siyasal Cazibesi</w:t>
      </w:r>
      <w:r w:rsidR="006D2BCC"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Ankara Üniversitesi SBF Dergisi,</w:t>
      </w:r>
      <w:r w:rsidRPr="00E97E0B">
        <w:rPr>
          <w:rFonts w:ascii="Times New Roman" w:eastAsia="Calibri" w:hAnsi="Times New Roman" w:cs="Times New Roman"/>
          <w:sz w:val="24"/>
          <w:szCs w:val="24"/>
        </w:rPr>
        <w:t xml:space="preserve"> </w:t>
      </w:r>
      <w:r w:rsidR="00184F89"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66, S. 3, Ankara, 2011.</w:t>
      </w:r>
    </w:p>
    <w:p w14:paraId="428B747B" w14:textId="46561F6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Edwards</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Derek ve Potter Jonathan</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sz w:val="24"/>
          <w:szCs w:val="24"/>
        </w:rPr>
        <w:t>Discursive Psychology</w:t>
      </w:r>
      <w:r w:rsidR="006D2BCC" w:rsidRPr="00E97E0B">
        <w:rPr>
          <w:rFonts w:ascii="Times New Roman" w:eastAsia="Calibri" w:hAnsi="Times New Roman" w:cs="Times New Roman"/>
          <w:i/>
          <w:sz w:val="24"/>
          <w:szCs w:val="24"/>
        </w:rPr>
        <w:t>.</w:t>
      </w:r>
      <w:r w:rsidRPr="00E97E0B">
        <w:rPr>
          <w:rFonts w:ascii="Times New Roman" w:eastAsia="Calibri" w:hAnsi="Times New Roman" w:cs="Times New Roman"/>
          <w:sz w:val="24"/>
          <w:szCs w:val="24"/>
          <w:vertAlign w:val="superscript"/>
        </w:rPr>
        <w:t xml:space="preserve"> </w:t>
      </w:r>
      <w:r w:rsidRPr="00E97E0B">
        <w:rPr>
          <w:rFonts w:ascii="Times New Roman" w:eastAsia="Calibri" w:hAnsi="Times New Roman" w:cs="Times New Roman"/>
          <w:sz w:val="24"/>
          <w:szCs w:val="24"/>
        </w:rPr>
        <w:t>London: Sage Publications, 1992.</w:t>
      </w:r>
    </w:p>
    <w:p w14:paraId="5A22246B" w14:textId="3E6028B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Elster</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Jon</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“Belief, Bias and Ideology</w:t>
      </w:r>
      <w:r w:rsidR="006D2BCC"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 xml:space="preserve">Rationality and Relativism </w:t>
      </w:r>
      <w:r w:rsidRPr="00E97E0B">
        <w:rPr>
          <w:rFonts w:ascii="Times New Roman" w:eastAsia="Calibri" w:hAnsi="Times New Roman" w:cs="Times New Roman"/>
          <w:sz w:val="24"/>
          <w:szCs w:val="24"/>
        </w:rPr>
        <w:t>içinde, Eds. Martin Hollis ve Steven Lukes, Cambridge: MIT Press, 1982.</w:t>
      </w:r>
    </w:p>
    <w:p w14:paraId="6ADC11FB" w14:textId="331E8CB7"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Erdem</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Sezgin</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“Yapısal Sembolik Etkileşimcilik ve Kimlik Teorisi</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i/>
          <w:iCs/>
          <w:sz w:val="24"/>
          <w:szCs w:val="24"/>
        </w:rPr>
        <w:t xml:space="preserve"> Sosyal ve Beşeri</w:t>
      </w:r>
      <w:r w:rsidR="00FE77C9" w:rsidRPr="00E97E0B">
        <w:rPr>
          <w:rFonts w:ascii="Times New Roman" w:eastAsia="Calibri" w:hAnsi="Times New Roman" w:cs="Times New Roman"/>
          <w:i/>
          <w:iCs/>
          <w:sz w:val="24"/>
          <w:szCs w:val="24"/>
        </w:rPr>
        <w:t xml:space="preserve"> </w:t>
      </w:r>
      <w:r w:rsidRPr="00E97E0B">
        <w:rPr>
          <w:rFonts w:ascii="Times New Roman" w:eastAsia="Calibri" w:hAnsi="Times New Roman" w:cs="Times New Roman"/>
          <w:i/>
          <w:iCs/>
          <w:sz w:val="24"/>
          <w:szCs w:val="24"/>
        </w:rPr>
        <w:t>Bilimleri Dergisi</w:t>
      </w:r>
      <w:r w:rsidRPr="00E97E0B">
        <w:rPr>
          <w:rFonts w:ascii="Times New Roman" w:eastAsia="Calibri" w:hAnsi="Times New Roman" w:cs="Times New Roman"/>
          <w:sz w:val="24"/>
          <w:szCs w:val="24"/>
        </w:rPr>
        <w:t xml:space="preserve">, </w:t>
      </w:r>
      <w:r w:rsidR="00184F89"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12, S. 1, 2020.</w:t>
      </w:r>
    </w:p>
    <w:p w14:paraId="17AAC6B8" w14:textId="0A07C67C"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Erdemir</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Aykan</w:t>
      </w:r>
      <w:r w:rsidR="001E6F7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“Tradition and Modernity: Alevis’ Ambiguous Terms and Turkey’s Ambivalent Subjects</w:t>
      </w:r>
      <w:r w:rsidR="006D2BC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Middle Eastern Studies,</w:t>
      </w:r>
      <w:r w:rsidRPr="00E97E0B">
        <w:rPr>
          <w:rFonts w:ascii="Times New Roman" w:eastAsia="Calibri" w:hAnsi="Times New Roman" w:cs="Times New Roman"/>
          <w:sz w:val="24"/>
          <w:szCs w:val="24"/>
        </w:rPr>
        <w:t xml:space="preserve"> </w:t>
      </w:r>
      <w:r w:rsidR="00BA4CE3"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41, S. 6, 2005.</w:t>
      </w:r>
    </w:p>
    <w:p w14:paraId="33E42E9E" w14:textId="59B7EB66"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Fairclough</w:t>
      </w:r>
      <w:r w:rsidR="00524020"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Norman ve </w:t>
      </w:r>
      <w:r w:rsidR="006D2BCC" w:rsidRPr="00E97E0B">
        <w:rPr>
          <w:rFonts w:ascii="Times New Roman" w:eastAsia="Calibri" w:hAnsi="Times New Roman" w:cs="Times New Roman"/>
          <w:sz w:val="24"/>
          <w:szCs w:val="24"/>
        </w:rPr>
        <w:t xml:space="preserve">Phil </w:t>
      </w:r>
      <w:r w:rsidRPr="00E97E0B">
        <w:rPr>
          <w:rFonts w:ascii="Times New Roman" w:eastAsia="Calibri" w:hAnsi="Times New Roman" w:cs="Times New Roman"/>
          <w:sz w:val="24"/>
          <w:szCs w:val="24"/>
        </w:rPr>
        <w:t>Graham</w:t>
      </w:r>
      <w:r w:rsidR="0054271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“Eleştirel Söylem Çözümlemecisi olarak Marx: Eleştirel Yöntemin Yaratılışı ve Küresel Sermayenin Eleştirisi ile Bağlantısı</w:t>
      </w:r>
      <w:r w:rsidR="006D2BCC"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sz w:val="24"/>
          <w:szCs w:val="24"/>
        </w:rPr>
        <w:t>Söylem ve İdeoloji</w:t>
      </w:r>
      <w:r w:rsidRPr="00E97E0B">
        <w:rPr>
          <w:rFonts w:ascii="Times New Roman" w:eastAsia="Calibri" w:hAnsi="Times New Roman" w:cs="Times New Roman"/>
          <w:sz w:val="24"/>
          <w:szCs w:val="24"/>
        </w:rPr>
        <w:t xml:space="preserve"> içinde, Haz. Barış Çoban ve Zeynep Özarslan, İstanbul: Su Yayınevi, 2015. </w:t>
      </w:r>
    </w:p>
    <w:p w14:paraId="78E004A7" w14:textId="4FBE8F8D" w:rsidR="00EE36B7"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Fairclough</w:t>
      </w:r>
      <w:r w:rsidR="0054271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Norman</w:t>
      </w:r>
      <w:r w:rsidR="0054271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“The Discourse of New Labour Critical Discourse Analysis</w:t>
      </w:r>
      <w:r w:rsidR="00687301"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sz w:val="24"/>
          <w:szCs w:val="24"/>
        </w:rPr>
        <w:t>Discourse as Data: A Guide for Analysis</w:t>
      </w:r>
      <w:r w:rsidRPr="00E97E0B">
        <w:rPr>
          <w:rFonts w:ascii="Times New Roman" w:eastAsia="Calibri" w:hAnsi="Times New Roman" w:cs="Times New Roman"/>
          <w:sz w:val="24"/>
          <w:szCs w:val="24"/>
        </w:rPr>
        <w:t xml:space="preserve"> içinde, Eds Margaret Wetherell, Stephanie Taylor ve Simeon J. Yates, London: Sage Publications, 2001.</w:t>
      </w:r>
    </w:p>
    <w:p w14:paraId="685DEC05" w14:textId="42F323E1" w:rsidR="002858AE" w:rsidRPr="00E97E0B" w:rsidRDefault="0054271D"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 xml:space="preserve">___________. </w:t>
      </w:r>
      <w:r w:rsidR="002858AE" w:rsidRPr="00E97E0B">
        <w:rPr>
          <w:rFonts w:ascii="Times New Roman" w:eastAsia="Calibri" w:hAnsi="Times New Roman" w:cs="Times New Roman"/>
          <w:i/>
          <w:iCs/>
          <w:sz w:val="24"/>
          <w:szCs w:val="24"/>
        </w:rPr>
        <w:t>Discourse and Social Change</w:t>
      </w:r>
      <w:r w:rsidRPr="00E97E0B">
        <w:rPr>
          <w:rFonts w:ascii="Times New Roman" w:eastAsia="Calibri" w:hAnsi="Times New Roman" w:cs="Times New Roman"/>
          <w:i/>
          <w:iCs/>
          <w:sz w:val="24"/>
          <w:szCs w:val="24"/>
        </w:rPr>
        <w:t>.</w:t>
      </w:r>
      <w:r w:rsidR="002858AE" w:rsidRPr="00E97E0B">
        <w:rPr>
          <w:rFonts w:ascii="Times New Roman" w:eastAsia="Calibri" w:hAnsi="Times New Roman" w:cs="Times New Roman"/>
          <w:sz w:val="24"/>
          <w:szCs w:val="24"/>
        </w:rPr>
        <w:t xml:space="preserve"> Cambridge: Polity Press, 1993.</w:t>
      </w:r>
    </w:p>
    <w:p w14:paraId="763479EB" w14:textId="152ED1AA"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Fassin</w:t>
      </w:r>
      <w:r w:rsidR="0054271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Eric</w:t>
      </w:r>
      <w:r w:rsidR="0054271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“Les Couleurs de la Représentation</w:t>
      </w:r>
      <w:r w:rsidR="00E11DD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 xml:space="preserve">Revue Française de Science Politique, </w:t>
      </w:r>
      <w:r w:rsidR="00E72741"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60, S. 4, 2010.</w:t>
      </w:r>
    </w:p>
    <w:p w14:paraId="5636211C" w14:textId="777CB9E8"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71" w:name="_Hlk136297836"/>
      <w:r w:rsidRPr="00E97E0B">
        <w:rPr>
          <w:rFonts w:ascii="Times New Roman" w:eastAsia="Calibri" w:hAnsi="Times New Roman" w:cs="Times New Roman"/>
          <w:sz w:val="24"/>
          <w:szCs w:val="24"/>
          <w:lang w:val="en-US"/>
        </w:rPr>
        <w:t>Findley</w:t>
      </w:r>
      <w:r w:rsidR="00185F2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Carter Vaughn</w:t>
      </w:r>
      <w:r w:rsidR="00185F2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Turkey, Islam, Nationalism and Modernity: A History 1789-2007</w:t>
      </w:r>
      <w:r w:rsidR="00185F2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New Haven &amp; London: Yale University Press, 2010</w:t>
      </w:r>
      <w:bookmarkEnd w:id="271"/>
      <w:r w:rsidRPr="00E97E0B">
        <w:rPr>
          <w:rFonts w:ascii="Times New Roman" w:eastAsia="Calibri" w:hAnsi="Times New Roman" w:cs="Times New Roman"/>
          <w:sz w:val="24"/>
          <w:szCs w:val="24"/>
          <w:lang w:val="en-US"/>
        </w:rPr>
        <w:t>.</w:t>
      </w:r>
    </w:p>
    <w:p w14:paraId="75A10902" w14:textId="307CF85D"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Foucault</w:t>
      </w:r>
      <w:r w:rsidR="00185F2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Michel</w:t>
      </w:r>
      <w:r w:rsidR="00185F2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L’ordre du discours</w:t>
      </w:r>
      <w:r w:rsidR="00185F2A" w:rsidRPr="00E97E0B">
        <w:rPr>
          <w:rFonts w:ascii="Times New Roman" w:eastAsia="Calibri" w:hAnsi="Times New Roman" w:cs="Times New Roman"/>
          <w:i/>
          <w:iCs/>
          <w:sz w:val="24"/>
          <w:szCs w:val="24"/>
        </w:rPr>
        <w:t>.</w:t>
      </w:r>
      <w:r w:rsidRPr="00E97E0B">
        <w:rPr>
          <w:rFonts w:ascii="Times New Roman" w:eastAsia="Calibri" w:hAnsi="Times New Roman" w:cs="Times New Roman"/>
          <w:i/>
          <w:iCs/>
          <w:sz w:val="24"/>
          <w:szCs w:val="24"/>
        </w:rPr>
        <w:t xml:space="preserve"> Editions</w:t>
      </w:r>
      <w:r w:rsidRPr="00E97E0B">
        <w:rPr>
          <w:rFonts w:ascii="Times New Roman" w:eastAsia="Calibri" w:hAnsi="Times New Roman" w:cs="Times New Roman"/>
          <w:sz w:val="24"/>
          <w:szCs w:val="24"/>
        </w:rPr>
        <w:t xml:space="preserve"> Paris: Gallimard, 1971.</w:t>
      </w:r>
    </w:p>
    <w:p w14:paraId="3DE389C3" w14:textId="15B1A19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Fouteau</w:t>
      </w:r>
      <w:r w:rsidR="00185F2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Carine</w:t>
      </w:r>
      <w:r w:rsidR="00185F2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“Comment Nicolas Sarkozy a rendu possible la dérive raciste à droite?” </w:t>
      </w:r>
      <w:r w:rsidRPr="00E97E0B">
        <w:rPr>
          <w:rFonts w:ascii="Times New Roman" w:eastAsia="Calibri" w:hAnsi="Times New Roman" w:cs="Times New Roman"/>
          <w:i/>
          <w:iCs/>
          <w:sz w:val="24"/>
          <w:szCs w:val="24"/>
        </w:rPr>
        <w:t>Mediapart</w:t>
      </w:r>
      <w:r w:rsidRPr="00E97E0B">
        <w:rPr>
          <w:rFonts w:ascii="Times New Roman" w:eastAsia="Calibri" w:hAnsi="Times New Roman" w:cs="Times New Roman"/>
          <w:sz w:val="24"/>
          <w:szCs w:val="24"/>
        </w:rPr>
        <w:t>, 27.03.2010,</w:t>
      </w:r>
      <w:r w:rsidR="00AD2A9B" w:rsidRPr="00E97E0B">
        <w:rPr>
          <w:rFonts w:ascii="Times New Roman" w:eastAsia="Calibri" w:hAnsi="Times New Roman" w:cs="Times New Roman"/>
          <w:sz w:val="24"/>
          <w:szCs w:val="24"/>
        </w:rPr>
        <w:t xml:space="preserve"> [Erişim: 20.03.2022].</w:t>
      </w:r>
      <w:r w:rsidRPr="00E97E0B">
        <w:rPr>
          <w:rFonts w:ascii="Times New Roman" w:eastAsia="Calibri" w:hAnsi="Times New Roman" w:cs="Times New Roman"/>
          <w:sz w:val="24"/>
          <w:szCs w:val="24"/>
        </w:rPr>
        <w:t xml:space="preserve"> https://www.mediapart.fr/journal/france/230310/comment-nicolas-sarkozy-rendu-possible-la-derive-raciste-droite </w:t>
      </w:r>
    </w:p>
    <w:p w14:paraId="2AF7A270" w14:textId="46584B78" w:rsidR="00EE36B7" w:rsidRPr="00E97E0B" w:rsidRDefault="00EE36B7"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Franceinfo. “Cinq ans de signaux envoyés au Front national.” [Erişim: 07.02.2022]. https://www.francetvinfo.fr/societe/vote-des-etrangers/cinq-ans-de-signaux-envoyes-au-front-national_263301.html </w:t>
      </w:r>
    </w:p>
    <w:p w14:paraId="5D28D761" w14:textId="35061675"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72" w:name="_Hlk136298549"/>
      <w:r w:rsidRPr="00E97E0B">
        <w:rPr>
          <w:rFonts w:ascii="Times New Roman" w:eastAsia="Calibri" w:hAnsi="Times New Roman" w:cs="Times New Roman"/>
          <w:sz w:val="24"/>
          <w:szCs w:val="24"/>
          <w:lang w:val="en-US"/>
        </w:rPr>
        <w:t>France 24</w:t>
      </w:r>
      <w:r w:rsidR="00747161" w:rsidRPr="00E97E0B">
        <w:rPr>
          <w:rFonts w:ascii="Times New Roman" w:eastAsia="Calibri" w:hAnsi="Times New Roman" w:cs="Times New Roman"/>
          <w:sz w:val="24"/>
          <w:szCs w:val="24"/>
          <w:lang w:val="en-US"/>
        </w:rPr>
        <w:t>.</w:t>
      </w:r>
      <w:r w:rsidR="00747161" w:rsidRPr="00E97E0B">
        <w:rPr>
          <w:rFonts w:ascii="Times New Roman" w:eastAsia="Calibri" w:hAnsi="Times New Roman" w:cs="Times New Roman"/>
          <w:sz w:val="24"/>
          <w:szCs w:val="24"/>
          <w:lang w:val="en-US"/>
        </w:rPr>
        <w:tab/>
      </w:r>
      <w:r w:rsidRPr="00E97E0B">
        <w:rPr>
          <w:rFonts w:ascii="Times New Roman" w:eastAsia="Calibri" w:hAnsi="Times New Roman" w:cs="Times New Roman"/>
          <w:sz w:val="24"/>
          <w:szCs w:val="24"/>
          <w:lang w:val="en-US"/>
        </w:rPr>
        <w:t xml:space="preserve"> </w:t>
      </w:r>
      <w:r w:rsidR="00747161"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Présidentielle française, “La religion a-t-elle une influence sur le choix du futur président?”  14.03.2012</w:t>
      </w:r>
      <w:r w:rsidR="00747161" w:rsidRPr="00E97E0B">
        <w:rPr>
          <w:rFonts w:ascii="Times New Roman" w:eastAsia="Calibri" w:hAnsi="Times New Roman" w:cs="Times New Roman"/>
          <w:sz w:val="24"/>
          <w:szCs w:val="24"/>
          <w:lang w:val="en-US"/>
        </w:rPr>
        <w:t>. [Erişim 20.08.2022]</w:t>
      </w:r>
      <w:r w:rsidRPr="00E97E0B">
        <w:rPr>
          <w:rFonts w:ascii="Times New Roman" w:eastAsia="Calibri" w:hAnsi="Times New Roman" w:cs="Times New Roman"/>
          <w:sz w:val="24"/>
          <w:szCs w:val="24"/>
          <w:lang w:val="en-US"/>
        </w:rPr>
        <w:t xml:space="preserve"> https://www.france24.com/fr/20120314-dis-moi-religion-je-te-dirai-tu-votes-catholique-juif-musulman-UMP-PS-election-presidentielle</w:t>
      </w:r>
      <w:r w:rsidRPr="00E97E0B">
        <w:rPr>
          <w:rFonts w:ascii="Times New Roman" w:eastAsia="Calibri" w:hAnsi="Times New Roman" w:cs="Times New Roman"/>
          <w:color w:val="0563C1"/>
          <w:sz w:val="24"/>
          <w:szCs w:val="24"/>
          <w:u w:val="single"/>
          <w:lang w:val="en-US"/>
        </w:rPr>
        <w:t xml:space="preserve"> </w:t>
      </w:r>
      <w:bookmarkEnd w:id="272"/>
    </w:p>
    <w:p w14:paraId="39D9B2EE" w14:textId="5DC5543C" w:rsidR="002858AE" w:rsidRPr="00E97E0B" w:rsidRDefault="002858AE" w:rsidP="002858AE">
      <w:pPr>
        <w:spacing w:after="0" w:line="240" w:lineRule="auto"/>
        <w:jc w:val="both"/>
        <w:rPr>
          <w:rFonts w:ascii="Times New Roman" w:eastAsia="Calibri" w:hAnsi="Times New Roman" w:cs="Times New Roman"/>
          <w:sz w:val="24"/>
          <w:szCs w:val="24"/>
          <w:lang w:val="en-US"/>
        </w:rPr>
      </w:pPr>
      <w:bookmarkStart w:id="273" w:name="_Hlk136297409"/>
      <w:r w:rsidRPr="00E97E0B">
        <w:rPr>
          <w:rFonts w:ascii="Times New Roman" w:eastAsia="Calibri" w:hAnsi="Times New Roman" w:cs="Times New Roman"/>
          <w:sz w:val="24"/>
          <w:szCs w:val="24"/>
          <w:lang w:val="en-US"/>
        </w:rPr>
        <w:t>Gaxie</w:t>
      </w:r>
      <w:r w:rsidR="00185F2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Daniel</w:t>
      </w:r>
      <w:r w:rsidR="00185F2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“Le vote comme disposition et comme transaction</w:t>
      </w:r>
      <w:r w:rsidR="00E24818"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Explication du vote</w:t>
      </w:r>
      <w:r w:rsidRPr="00E97E0B">
        <w:rPr>
          <w:rFonts w:ascii="Times New Roman" w:eastAsia="Calibri" w:hAnsi="Times New Roman" w:cs="Times New Roman"/>
          <w:sz w:val="24"/>
          <w:szCs w:val="24"/>
          <w:lang w:val="en-US"/>
        </w:rPr>
        <w:t xml:space="preserve"> içinde, Paris: Presses de la FNSP, 1989. </w:t>
      </w:r>
      <w:bookmarkEnd w:id="273"/>
    </w:p>
    <w:p w14:paraId="6FB22130" w14:textId="36D7E90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Geering, John</w:t>
      </w:r>
      <w:r w:rsidR="00185F2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Ideology: A definitional Analysis</w:t>
      </w:r>
      <w:r w:rsidR="00893E54"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London: Sage Publlications, 1997.</w:t>
      </w:r>
    </w:p>
    <w:p w14:paraId="612812C7" w14:textId="0F081E18" w:rsidR="00AD2A9B" w:rsidRPr="00E97E0B" w:rsidRDefault="002858AE" w:rsidP="00AD2A9B">
      <w:pPr>
        <w:spacing w:before="120" w:after="120" w:line="240" w:lineRule="auto"/>
        <w:jc w:val="both"/>
        <w:rPr>
          <w:rFonts w:ascii="Times New Roman" w:eastAsia="Calibri" w:hAnsi="Times New Roman" w:cs="Times New Roman"/>
          <w:sz w:val="24"/>
          <w:szCs w:val="24"/>
          <w:lang w:val="en-US"/>
        </w:rPr>
      </w:pPr>
      <w:bookmarkStart w:id="274" w:name="_Hlk136298891"/>
      <w:r w:rsidRPr="00E97E0B">
        <w:rPr>
          <w:rFonts w:ascii="Times New Roman" w:eastAsia="Calibri" w:hAnsi="Times New Roman" w:cs="Times New Roman"/>
          <w:sz w:val="24"/>
          <w:szCs w:val="24"/>
          <w:lang w:val="en-US"/>
        </w:rPr>
        <w:t>Giddens</w:t>
      </w:r>
      <w:r w:rsidR="00185F2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Anthony</w:t>
      </w:r>
      <w:r w:rsidR="00185F2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A Contemporary Critique of Historical Materialism</w:t>
      </w:r>
      <w:r w:rsidR="00E57A2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2. Ci</w:t>
      </w:r>
      <w:r w:rsidR="00E57A27" w:rsidRPr="00E97E0B">
        <w:rPr>
          <w:rFonts w:ascii="Times New Roman" w:eastAsia="Calibri" w:hAnsi="Times New Roman" w:cs="Times New Roman"/>
          <w:sz w:val="24"/>
          <w:szCs w:val="24"/>
          <w:lang w:val="en-US"/>
        </w:rPr>
        <w:t>lt.</w:t>
      </w:r>
      <w:r w:rsidRPr="00E97E0B">
        <w:rPr>
          <w:rFonts w:ascii="Times New Roman" w:eastAsia="Calibri" w:hAnsi="Times New Roman" w:cs="Times New Roman"/>
          <w:sz w:val="24"/>
          <w:szCs w:val="24"/>
          <w:lang w:val="en-US"/>
        </w:rPr>
        <w:t xml:space="preserve"> The Nation-State and Violence, Cambridge: Polity Press, 1989</w:t>
      </w:r>
      <w:bookmarkEnd w:id="274"/>
      <w:r w:rsidR="00AD2A9B"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p>
    <w:p w14:paraId="3E85D278" w14:textId="2D9DD356" w:rsidR="00AD2A9B" w:rsidRPr="00E97E0B" w:rsidRDefault="00AD2A9B" w:rsidP="00AD2A9B">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Girnth, H..  “Texte im Politischen Diskurs Ein Vorschlag zur </w:t>
      </w:r>
      <w:r w:rsidR="00471FFB" w:rsidRPr="00E97E0B">
        <w:rPr>
          <w:rFonts w:ascii="Times New Roman" w:eastAsia="Calibri" w:hAnsi="Times New Roman" w:cs="Times New Roman"/>
          <w:sz w:val="24"/>
          <w:szCs w:val="24"/>
          <w:lang w:val="en-US"/>
        </w:rPr>
        <w:t>D</w:t>
      </w:r>
      <w:r w:rsidRPr="00E97E0B">
        <w:rPr>
          <w:rFonts w:ascii="Times New Roman" w:eastAsia="Calibri" w:hAnsi="Times New Roman" w:cs="Times New Roman"/>
          <w:sz w:val="24"/>
          <w:szCs w:val="24"/>
          <w:lang w:val="en-US"/>
        </w:rPr>
        <w:t xml:space="preserve">iskurs </w:t>
      </w:r>
      <w:r w:rsidR="00471FFB" w:rsidRPr="00E97E0B">
        <w:rPr>
          <w:rFonts w:ascii="Times New Roman" w:eastAsia="Calibri" w:hAnsi="Times New Roman" w:cs="Times New Roman"/>
          <w:sz w:val="24"/>
          <w:szCs w:val="24"/>
          <w:lang w:val="en-US"/>
        </w:rPr>
        <w:t>O</w:t>
      </w:r>
      <w:r w:rsidRPr="00E97E0B">
        <w:rPr>
          <w:rFonts w:ascii="Times New Roman" w:eastAsia="Calibri" w:hAnsi="Times New Roman" w:cs="Times New Roman"/>
          <w:sz w:val="24"/>
          <w:szCs w:val="24"/>
          <w:lang w:val="en-US"/>
        </w:rPr>
        <w:t>rientierten Beschreibung von Textzorten</w:t>
      </w:r>
      <w:r w:rsidR="00E57A27"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Mutterspache</w:t>
      </w:r>
      <w:r w:rsidRPr="00E97E0B">
        <w:rPr>
          <w:rFonts w:ascii="Times New Roman" w:eastAsia="Calibri" w:hAnsi="Times New Roman" w:cs="Times New Roman"/>
          <w:sz w:val="24"/>
          <w:szCs w:val="24"/>
          <w:lang w:val="en-US"/>
        </w:rPr>
        <w:t xml:space="preserve"> c. 1 (1996), 66-80.</w:t>
      </w:r>
    </w:p>
    <w:p w14:paraId="42ACD5E9" w14:textId="4E400ACC"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75" w:name="_Hlk136297766"/>
      <w:r w:rsidRPr="00E97E0B">
        <w:rPr>
          <w:rFonts w:ascii="Times New Roman" w:eastAsia="Calibri" w:hAnsi="Times New Roman" w:cs="Times New Roman"/>
          <w:sz w:val="24"/>
          <w:szCs w:val="24"/>
          <w:lang w:val="en-US"/>
        </w:rPr>
        <w:t>Gougou</w:t>
      </w:r>
      <w:r w:rsidR="00185F2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Florent ve </w:t>
      </w:r>
      <w:r w:rsidR="00AD6B04" w:rsidRPr="00E97E0B">
        <w:rPr>
          <w:rFonts w:ascii="Times New Roman" w:eastAsia="Calibri" w:hAnsi="Times New Roman" w:cs="Times New Roman"/>
          <w:sz w:val="24"/>
          <w:szCs w:val="24"/>
          <w:lang w:val="en-US"/>
        </w:rPr>
        <w:t xml:space="preserve">Simon </w:t>
      </w:r>
      <w:r w:rsidRPr="00E97E0B">
        <w:rPr>
          <w:rFonts w:ascii="Times New Roman" w:eastAsia="Calibri" w:hAnsi="Times New Roman" w:cs="Times New Roman"/>
          <w:sz w:val="24"/>
          <w:szCs w:val="24"/>
          <w:lang w:val="en-US"/>
        </w:rPr>
        <w:t>Labouret</w:t>
      </w:r>
      <w:r w:rsidR="00185F2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“La fin de la tripartition? Les recompositions de la droite et la transformation du système partisan</w:t>
      </w:r>
      <w:r w:rsidR="00E434D5"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Revue française de science politique,</w:t>
      </w:r>
      <w:r w:rsidR="001E354B" w:rsidRPr="00E97E0B">
        <w:rPr>
          <w:rFonts w:ascii="Times New Roman" w:eastAsia="Calibri" w:hAnsi="Times New Roman" w:cs="Times New Roman"/>
          <w:sz w:val="24"/>
          <w:szCs w:val="24"/>
          <w:lang w:val="en-US"/>
        </w:rPr>
        <w:t xml:space="preserve"> http://doi.org/</w:t>
      </w:r>
      <w:r w:rsidRPr="00E97E0B">
        <w:rPr>
          <w:rFonts w:ascii="Times New Roman" w:eastAsia="Calibri" w:hAnsi="Times New Roman" w:cs="Times New Roman"/>
          <w:sz w:val="24"/>
          <w:szCs w:val="24"/>
          <w:lang w:val="en-US"/>
        </w:rPr>
        <w:t>10.3917/rfsp.632.0279, C.63, S.2, Nisan 2013</w:t>
      </w:r>
      <w:bookmarkEnd w:id="275"/>
      <w:r w:rsidRPr="00E97E0B">
        <w:rPr>
          <w:rFonts w:ascii="Times New Roman" w:eastAsia="Calibri" w:hAnsi="Times New Roman" w:cs="Times New Roman"/>
          <w:sz w:val="24"/>
          <w:szCs w:val="24"/>
          <w:lang w:val="en-US"/>
        </w:rPr>
        <w:t>, 279-302.</w:t>
      </w:r>
    </w:p>
    <w:p w14:paraId="7B9733CB" w14:textId="558FE31F"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76" w:name="_Hlk136298294"/>
      <w:r w:rsidRPr="00E97E0B">
        <w:rPr>
          <w:rFonts w:ascii="Times New Roman" w:eastAsia="Calibri" w:hAnsi="Times New Roman" w:cs="Times New Roman"/>
          <w:sz w:val="24"/>
          <w:szCs w:val="24"/>
          <w:lang w:val="en-US"/>
        </w:rPr>
        <w:t>Göksu</w:t>
      </w:r>
      <w:r w:rsidR="00185F2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Oğuz</w:t>
      </w:r>
      <w:r w:rsidR="00185F2A"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“Ak Parti’nin Seçim Stratejileri ve Siyasal Kampanyaları: 2002-2014 Dönemi Analizi</w:t>
      </w:r>
      <w:r w:rsidR="00CF3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Turkish Studies Social Sciences</w:t>
      </w:r>
      <w:r w:rsidRPr="00E97E0B">
        <w:rPr>
          <w:rFonts w:ascii="Times New Roman" w:eastAsia="Calibri" w:hAnsi="Times New Roman" w:cs="Times New Roman"/>
          <w:sz w:val="24"/>
          <w:szCs w:val="24"/>
          <w:lang w:val="en-US"/>
        </w:rPr>
        <w:t>, C.14, S. 3, Ankara, 2019</w:t>
      </w:r>
      <w:bookmarkEnd w:id="276"/>
      <w:r w:rsidRPr="00E97E0B">
        <w:rPr>
          <w:rFonts w:ascii="Times New Roman" w:eastAsia="Calibri" w:hAnsi="Times New Roman" w:cs="Times New Roman"/>
          <w:sz w:val="24"/>
          <w:szCs w:val="24"/>
          <w:lang w:val="en-US"/>
        </w:rPr>
        <w:t>.</w:t>
      </w:r>
    </w:p>
    <w:p w14:paraId="72AADF04" w14:textId="66308FD8"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77" w:name="_Hlk136297878"/>
      <w:r w:rsidRPr="00E97E0B">
        <w:rPr>
          <w:rFonts w:ascii="Times New Roman" w:eastAsia="Calibri" w:hAnsi="Times New Roman" w:cs="Times New Roman"/>
          <w:sz w:val="24"/>
          <w:szCs w:val="24"/>
          <w:lang w:val="en-US"/>
        </w:rPr>
        <w:t xml:space="preserve">Gözler Kemal, </w:t>
      </w:r>
      <w:r w:rsidRPr="00E97E0B">
        <w:rPr>
          <w:rFonts w:ascii="Times New Roman" w:eastAsia="Calibri" w:hAnsi="Times New Roman" w:cs="Times New Roman"/>
          <w:i/>
          <w:iCs/>
          <w:sz w:val="24"/>
          <w:szCs w:val="24"/>
          <w:lang w:val="en-US"/>
        </w:rPr>
        <w:t>Türk Anayasa Hukuku</w:t>
      </w:r>
      <w:r w:rsidR="00CF3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2. B</w:t>
      </w:r>
      <w:r w:rsidR="00CF3CF3" w:rsidRPr="00E97E0B">
        <w:rPr>
          <w:rFonts w:ascii="Times New Roman" w:eastAsia="Calibri" w:hAnsi="Times New Roman" w:cs="Times New Roman"/>
          <w:sz w:val="24"/>
          <w:szCs w:val="24"/>
          <w:lang w:val="en-US"/>
        </w:rPr>
        <w:t>s.</w:t>
      </w:r>
      <w:r w:rsidRPr="00E97E0B">
        <w:rPr>
          <w:rFonts w:ascii="Times New Roman" w:eastAsia="Calibri" w:hAnsi="Times New Roman" w:cs="Times New Roman"/>
          <w:sz w:val="24"/>
          <w:szCs w:val="24"/>
          <w:lang w:val="en-US"/>
        </w:rPr>
        <w:t>, Bursa: Ekin Basın Yayın Dağıtım, Temmuz 2018</w:t>
      </w:r>
      <w:bookmarkEnd w:id="277"/>
      <w:r w:rsidRPr="00E97E0B">
        <w:rPr>
          <w:rFonts w:ascii="Times New Roman" w:eastAsia="Calibri" w:hAnsi="Times New Roman" w:cs="Times New Roman"/>
          <w:sz w:val="24"/>
          <w:szCs w:val="24"/>
          <w:lang w:val="en-US"/>
        </w:rPr>
        <w:t>.</w:t>
      </w:r>
    </w:p>
    <w:p w14:paraId="203A886D" w14:textId="427EFF4B"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Guespin</w:t>
      </w:r>
      <w:r w:rsidR="009E560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Louis</w:t>
      </w:r>
      <w:r w:rsidR="009E560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“Problématique des travaux sur le discours politique</w:t>
      </w:r>
      <w:r w:rsidR="00AC4B12"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Le discours politique özel sayısı Langages Dergisi,</w:t>
      </w:r>
      <w:r w:rsidRPr="00E97E0B">
        <w:rPr>
          <w:rFonts w:ascii="Times New Roman" w:eastAsia="Calibri" w:hAnsi="Times New Roman" w:cs="Times New Roman"/>
          <w:sz w:val="24"/>
          <w:szCs w:val="24"/>
        </w:rPr>
        <w:t xml:space="preserve"> </w:t>
      </w:r>
      <w:r w:rsidR="00FB792E" w:rsidRPr="00E97E0B">
        <w:rPr>
          <w:rFonts w:ascii="Times New Roman" w:eastAsia="Calibri" w:hAnsi="Times New Roman" w:cs="Times New Roman"/>
          <w:sz w:val="24"/>
          <w:szCs w:val="24"/>
        </w:rPr>
        <w:t>S</w:t>
      </w:r>
      <w:r w:rsidRPr="00E97E0B">
        <w:rPr>
          <w:rFonts w:ascii="Times New Roman" w:eastAsia="Calibri" w:hAnsi="Times New Roman" w:cs="Times New Roman"/>
          <w:sz w:val="24"/>
          <w:szCs w:val="24"/>
        </w:rPr>
        <w:t>.</w:t>
      </w:r>
      <w:r w:rsidR="00882F2E"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23, France, 1971.</w:t>
      </w:r>
    </w:p>
    <w:p w14:paraId="00908DB3" w14:textId="25A4F77C"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Guimier</w:t>
      </w:r>
      <w:r w:rsidR="009E5601"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Laurent</w:t>
      </w:r>
      <w:r w:rsidR="009E5601"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Elections Présidentielles: Archive Photographique de la Vème République</w:t>
      </w:r>
      <w:r w:rsidR="003F39E4"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Paris: Gründ, 2012.</w:t>
      </w:r>
    </w:p>
    <w:p w14:paraId="4498C62C" w14:textId="0052B4D9"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Günay</w:t>
      </w:r>
      <w:r w:rsidR="009E560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Veli Doğan</w:t>
      </w:r>
      <w:r w:rsidR="009E560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sz w:val="24"/>
          <w:szCs w:val="24"/>
        </w:rPr>
        <w:t>Söylem Çözümlemesi</w:t>
      </w:r>
      <w:r w:rsidR="006C72A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İstanbul: Papatya Yayıncılık Eğitim, 2018.</w:t>
      </w:r>
    </w:p>
    <w:p w14:paraId="33F75E07" w14:textId="5B74F104"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Güngör</w:t>
      </w:r>
      <w:r w:rsidR="0056012B"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Berkan</w:t>
      </w:r>
      <w:r w:rsidR="0056012B"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“Söylem Yaklaşımı Üzerine Bir Kavram Çalışması ve Eleştirel Söylem Analizi</w:t>
      </w:r>
      <w:r w:rsidR="0092099D"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Kritik İletişim Çalışmaları Dergisi, C.2, </w:t>
      </w:r>
      <w:r w:rsidR="00FB792E" w:rsidRPr="00E97E0B">
        <w:rPr>
          <w:rFonts w:ascii="Times New Roman" w:eastAsia="Calibri" w:hAnsi="Times New Roman" w:cs="Times New Roman"/>
          <w:sz w:val="24"/>
          <w:szCs w:val="24"/>
        </w:rPr>
        <w:t>S</w:t>
      </w:r>
      <w:r w:rsidRPr="00E97E0B">
        <w:rPr>
          <w:rFonts w:ascii="Times New Roman" w:eastAsia="Calibri" w:hAnsi="Times New Roman" w:cs="Times New Roman"/>
          <w:sz w:val="24"/>
          <w:szCs w:val="24"/>
        </w:rPr>
        <w:t>.2. Konya, 2020.</w:t>
      </w:r>
    </w:p>
    <w:p w14:paraId="33DF01E5" w14:textId="153F7278" w:rsidR="002858AE" w:rsidRPr="00E97E0B" w:rsidRDefault="002858AE" w:rsidP="002858AE">
      <w:pPr>
        <w:spacing w:after="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Güven</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Süleyman</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Postmodern Siyaset ve Söylem: Siyasi Parti Lider Söylemleri Üzerine Bir Çalışma</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00FE7EFD" w:rsidRPr="00E97E0B">
        <w:rPr>
          <w:rFonts w:ascii="Times New Roman" w:eastAsia="Calibri" w:hAnsi="Times New Roman" w:cs="Times New Roman"/>
          <w:sz w:val="24"/>
          <w:szCs w:val="24"/>
          <w:lang w:val="en-US"/>
        </w:rPr>
        <w:t xml:space="preserve">Yayımlanmış Doktora Tezi, </w:t>
      </w:r>
      <w:r w:rsidRPr="00E97E0B">
        <w:rPr>
          <w:rFonts w:ascii="Times New Roman" w:eastAsia="Calibri" w:hAnsi="Times New Roman" w:cs="Times New Roman"/>
          <w:sz w:val="24"/>
          <w:szCs w:val="24"/>
          <w:lang w:val="en-US"/>
        </w:rPr>
        <w:t>Ankara Üniversitesi Sosyal Bilimler Enstitüsü, Ankara 2015</w:t>
      </w:r>
      <w:r w:rsidR="00FE7EF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p>
    <w:p w14:paraId="0D586F62" w14:textId="05EBE52A"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Habermas</w:t>
      </w:r>
      <w:r w:rsidR="0056012B"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J</w:t>
      </w:r>
      <w:r w:rsidR="00934E8E" w:rsidRPr="00E97E0B">
        <w:rPr>
          <w:rFonts w:ascii="Times New Roman" w:eastAsia="Calibri" w:hAnsi="Times New Roman" w:cs="Times New Roman"/>
          <w:sz w:val="24"/>
          <w:szCs w:val="24"/>
        </w:rPr>
        <w:t>ü</w:t>
      </w:r>
      <w:r w:rsidRPr="00E97E0B">
        <w:rPr>
          <w:rFonts w:ascii="Times New Roman" w:eastAsia="Calibri" w:hAnsi="Times New Roman" w:cs="Times New Roman"/>
          <w:sz w:val="24"/>
          <w:szCs w:val="24"/>
        </w:rPr>
        <w:t>rgen</w:t>
      </w:r>
      <w:r w:rsidR="0056012B"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The Philosophical Discourse of Modernity</w:t>
      </w:r>
      <w:r w:rsidRPr="00E97E0B">
        <w:rPr>
          <w:rFonts w:ascii="Times New Roman" w:eastAsia="Calibri" w:hAnsi="Times New Roman" w:cs="Times New Roman"/>
          <w:sz w:val="24"/>
          <w:szCs w:val="24"/>
        </w:rPr>
        <w:t>, çev. Frederick Lawrence, Cambridge: Polity Press, 1990.</w:t>
      </w:r>
    </w:p>
    <w:p w14:paraId="14B5B721" w14:textId="426BFDAB" w:rsidR="002858AE" w:rsidRPr="00E97E0B" w:rsidRDefault="000B7F5D" w:rsidP="002858AE">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Haber Türk. </w:t>
      </w:r>
      <w:r w:rsidR="00C93BC9" w:rsidRPr="00E97E0B">
        <w:rPr>
          <w:rFonts w:ascii="Times New Roman" w:eastAsia="Calibri" w:hAnsi="Times New Roman" w:cs="Times New Roman"/>
          <w:sz w:val="24"/>
          <w:szCs w:val="24"/>
          <w:lang w:val="en-US"/>
        </w:rPr>
        <w:t xml:space="preserve">“Bölgeler.” </w:t>
      </w:r>
      <w:r w:rsidR="002858AE" w:rsidRPr="00E97E0B">
        <w:rPr>
          <w:rFonts w:ascii="Times New Roman" w:eastAsia="Calibri" w:hAnsi="Times New Roman" w:cs="Times New Roman"/>
          <w:sz w:val="24"/>
          <w:szCs w:val="24"/>
          <w:lang w:val="en-US"/>
        </w:rPr>
        <w:t>HTSeçim2011</w:t>
      </w:r>
      <w:r w:rsidR="00C93BC9" w:rsidRPr="00E97E0B">
        <w:rPr>
          <w:rFonts w:ascii="Times New Roman" w:eastAsia="Calibri" w:hAnsi="Times New Roman" w:cs="Times New Roman"/>
          <w:sz w:val="24"/>
          <w:szCs w:val="24"/>
          <w:lang w:val="en-US"/>
        </w:rPr>
        <w:t>. [Erişim 24.12.2022</w:t>
      </w:r>
      <w:r w:rsidR="00C93BC9" w:rsidRPr="00E97E0B">
        <w:rPr>
          <w:rFonts w:ascii="Times" w:eastAsia="Calibri" w:hAnsi="Times" w:cs="Times New Roman"/>
          <w:sz w:val="24"/>
          <w:szCs w:val="24"/>
          <w:lang w:val="en-US"/>
        </w:rPr>
        <w:t>].</w:t>
      </w:r>
      <w:r w:rsidR="00C93BC9" w:rsidRPr="00E97E0B">
        <w:rPr>
          <w:rFonts w:ascii="Times New Roman" w:eastAsia="Calibri" w:hAnsi="Times New Roman" w:cs="Times New Roman"/>
          <w:sz w:val="24"/>
          <w:szCs w:val="24"/>
          <w:lang w:val="en-US"/>
        </w:rPr>
        <w:t xml:space="preserve"> </w:t>
      </w:r>
      <w:r w:rsidR="00CF4697" w:rsidRPr="00E97E0B">
        <w:rPr>
          <w:rFonts w:ascii="Times New Roman" w:eastAsia="Calibri" w:hAnsi="Times New Roman" w:cs="Times New Roman"/>
          <w:sz w:val="24"/>
          <w:szCs w:val="24"/>
          <w:lang w:val="en-US"/>
        </w:rPr>
        <w:t>https://www.haberturk.com/secim/secim2011/genel-secim/bolge/guneydogu-anadolu-bolgesi-6</w:t>
      </w:r>
    </w:p>
    <w:p w14:paraId="0681B044" w14:textId="080BB6A8" w:rsidR="00CF4697" w:rsidRPr="00E97E0B" w:rsidRDefault="00183831" w:rsidP="00B0130F">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CF4697" w:rsidRPr="00E97E0B">
        <w:rPr>
          <w:rFonts w:ascii="Times New Roman" w:eastAsia="Calibri" w:hAnsi="Times New Roman" w:cs="Times New Roman"/>
          <w:sz w:val="24"/>
          <w:szCs w:val="24"/>
        </w:rPr>
        <w:t>“Erdoğan'dan MHP'ye: Kafatasçı.” 04.02.2007. [Erişim: 22.08.2022]. https://www.haberturk.com/polemik/haber/13</w:t>
      </w:r>
      <w:r w:rsidR="00B0130F" w:rsidRPr="00E97E0B">
        <w:rPr>
          <w:rFonts w:ascii="Times New Roman" w:eastAsia="Calibri" w:hAnsi="Times New Roman" w:cs="Times New Roman"/>
          <w:sz w:val="24"/>
          <w:szCs w:val="24"/>
        </w:rPr>
        <w:t xml:space="preserve">985-erdogandan-mhpye-kafatasci </w:t>
      </w:r>
    </w:p>
    <w:p w14:paraId="29A6CDAC" w14:textId="5C2228D6" w:rsidR="00C93BC9" w:rsidRPr="00E97E0B" w:rsidRDefault="000B7F5D" w:rsidP="00C93BC9">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C93BC9" w:rsidRPr="00E97E0B">
        <w:rPr>
          <w:rFonts w:ascii="Times New Roman" w:eastAsia="Calibri" w:hAnsi="Times New Roman" w:cs="Times New Roman"/>
          <w:sz w:val="24"/>
          <w:szCs w:val="24"/>
        </w:rPr>
        <w:t xml:space="preserve">“Kanıtlamayan Şerefsizdir!” [Erişim: 01.07.2022]. 05.09.2010. https://www.haberturk.com/gundem/haber/549161-kanitlamayan-serefsizdir </w:t>
      </w:r>
    </w:p>
    <w:p w14:paraId="1A3F2D21" w14:textId="40FF1835"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Harle</w:t>
      </w:r>
      <w:r w:rsidR="00CB5DB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Vilho</w:t>
      </w:r>
      <w:r w:rsidR="00CB5DB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“On the concepts of the “Other” and the “Enemy</w:t>
      </w:r>
      <w:r w:rsidR="00CB5DB7"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History of European Ideas</w:t>
      </w:r>
      <w:r w:rsidRPr="00E97E0B">
        <w:rPr>
          <w:rFonts w:ascii="Times New Roman" w:eastAsia="Calibri" w:hAnsi="Times New Roman" w:cs="Times New Roman"/>
          <w:sz w:val="24"/>
          <w:szCs w:val="24"/>
        </w:rPr>
        <w:t xml:space="preserve">, </w:t>
      </w:r>
      <w:r w:rsidR="00CB5DB7"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19, S. 13, 1994.</w:t>
      </w:r>
    </w:p>
    <w:p w14:paraId="04B3110D" w14:textId="53B51CDF"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Harre</w:t>
      </w:r>
      <w:r w:rsidR="00CB5DB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Rom</w:t>
      </w:r>
      <w:r w:rsidR="00CB5DB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Social Being</w:t>
      </w:r>
      <w:r w:rsidR="00CB5DB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New Jersey:</w:t>
      </w:r>
      <w:r w:rsidRPr="00E97E0B">
        <w:rPr>
          <w:rFonts w:ascii="Times New Roman" w:eastAsia="Calibri" w:hAnsi="Times New Roman" w:cs="Times New Roman"/>
          <w:i/>
          <w:iCs/>
          <w:sz w:val="24"/>
          <w:szCs w:val="24"/>
        </w:rPr>
        <w:t xml:space="preserve"> </w:t>
      </w:r>
      <w:r w:rsidRPr="00E97E0B">
        <w:rPr>
          <w:rFonts w:ascii="Times New Roman" w:eastAsia="Calibri" w:hAnsi="Times New Roman" w:cs="Times New Roman"/>
          <w:sz w:val="24"/>
          <w:szCs w:val="24"/>
        </w:rPr>
        <w:t>Blackwell Publishing, 1993.</w:t>
      </w:r>
    </w:p>
    <w:p w14:paraId="64A1CCD4" w14:textId="142B9EC1"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Harvard Divinity School, Religion and Public Life, https://rpl.hds.harvard.edu/faq/armenians-turkey-0 [Erişim: 05.03.2022].</w:t>
      </w:r>
    </w:p>
    <w:p w14:paraId="467BDE36" w14:textId="17FEEDDA"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Helenistic Resources Institute</w:t>
      </w:r>
      <w:r w:rsidR="0093489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The Greek minority of Turkey</w:t>
      </w:r>
      <w:r w:rsidR="0093489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1A7E15" w:rsidRPr="00E97E0B">
        <w:rPr>
          <w:rFonts w:ascii="Times New Roman" w:eastAsia="Calibri" w:hAnsi="Times New Roman" w:cs="Times New Roman"/>
          <w:sz w:val="24"/>
          <w:szCs w:val="24"/>
        </w:rPr>
        <w:t xml:space="preserve">[Erişim: 04.06.2022], </w:t>
      </w:r>
      <w:r w:rsidRPr="00E97E0B">
        <w:rPr>
          <w:rFonts w:ascii="Times New Roman" w:eastAsia="Calibri" w:hAnsi="Times New Roman" w:cs="Times New Roman"/>
          <w:sz w:val="24"/>
          <w:szCs w:val="24"/>
        </w:rPr>
        <w:t xml:space="preserve">http://www.hri.org/MFA/foreign/bilateral/minority.htm </w:t>
      </w:r>
    </w:p>
    <w:p w14:paraId="0AD81E47" w14:textId="5C209F72" w:rsidR="00C241BB" w:rsidRPr="00E97E0B" w:rsidRDefault="00C241BB"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Hürriyet. “Başbakan Recep Tayyip Erdoğan’ın Amasya Konuşması.” 04.05.2011. [Erişim: 10.07.2022]. https://www.hurriyet.com.tr/erdogan-ve-chp-liderinin-aleviligi-17813544 </w:t>
      </w:r>
    </w:p>
    <w:p w14:paraId="10CAFF7B" w14:textId="2F17A5E1" w:rsidR="00BD1567" w:rsidRPr="00E97E0B" w:rsidRDefault="00C241BB"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BD1567" w:rsidRPr="00E97E0B">
        <w:rPr>
          <w:rFonts w:ascii="Times New Roman" w:eastAsia="Calibri" w:hAnsi="Times New Roman" w:cs="Times New Roman"/>
          <w:sz w:val="24"/>
          <w:szCs w:val="24"/>
        </w:rPr>
        <w:t xml:space="preserve">“Erdoğan: Din Türkiye’nin Çimentosudur.” 11.12.2005. [Erişim: 11.03.2022]. https://www.hurriyet.com.tr/gundem/erdogan-din-turkiye-nin-cimentosudur-3634007 </w:t>
      </w:r>
    </w:p>
    <w:p w14:paraId="202C749B" w14:textId="1223D4D8" w:rsidR="00C241BB" w:rsidRPr="00E97E0B" w:rsidRDefault="00486AC7"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F561C2" w:rsidRPr="00E97E0B">
        <w:rPr>
          <w:rFonts w:ascii="Times New Roman" w:eastAsia="Calibri" w:hAnsi="Times New Roman" w:cs="Times New Roman"/>
          <w:sz w:val="24"/>
          <w:szCs w:val="24"/>
        </w:rPr>
        <w:t xml:space="preserve">“Erdoğan'ın anket tepkisi: Fecaat.” 22.02.2013. [Erişim: 10.07.2022]. https://www.hurriyet.com.tr/gundem/erdoganin-anket-tepkisi-fecaat-22653369 </w:t>
      </w:r>
    </w:p>
    <w:p w14:paraId="59BD9B4F" w14:textId="304FE9ED" w:rsidR="004D5409" w:rsidRPr="00E97E0B" w:rsidRDefault="004D5409"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INA, “Vous en avez marre de cette bande de racaille hein? Je vais vous en débarrasser!” </w:t>
      </w:r>
      <w:r w:rsidR="003562E2" w:rsidRPr="00E97E0B">
        <w:rPr>
          <w:rFonts w:ascii="Times New Roman" w:eastAsia="Calibri" w:hAnsi="Times New Roman" w:cs="Times New Roman"/>
          <w:sz w:val="24"/>
          <w:szCs w:val="24"/>
        </w:rPr>
        <w:t xml:space="preserve">[Erişim: 07.02.2022]. </w:t>
      </w:r>
      <w:r w:rsidRPr="00E97E0B">
        <w:rPr>
          <w:rFonts w:ascii="Times New Roman" w:eastAsia="Calibri" w:hAnsi="Times New Roman" w:cs="Times New Roman"/>
          <w:sz w:val="24"/>
          <w:szCs w:val="24"/>
        </w:rPr>
        <w:t xml:space="preserve">https://www.ina.fr/ina-eclaire-actu/video/i09166721/nicolas-sarkozy-vous-en-avez-assez-de-cette-bande-de-racaillles-on-va-vous  </w:t>
      </w:r>
    </w:p>
    <w:p w14:paraId="1908925D" w14:textId="1649436A" w:rsidR="002858AE" w:rsidRPr="00E97E0B" w:rsidRDefault="008F5168" w:rsidP="002858AE">
      <w:pPr>
        <w:spacing w:before="120" w:after="120" w:line="240" w:lineRule="auto"/>
        <w:jc w:val="both"/>
        <w:rPr>
          <w:rFonts w:ascii="Times New Roman" w:eastAsia="Calibri" w:hAnsi="Times New Roman" w:cs="Times New Roman"/>
          <w:sz w:val="24"/>
          <w:szCs w:val="24"/>
          <w:lang w:val="en-US"/>
        </w:rPr>
      </w:pPr>
      <w:bookmarkStart w:id="278" w:name="_Hlk136298455"/>
      <w:r w:rsidRPr="00E97E0B">
        <w:rPr>
          <w:rFonts w:ascii="Times New Roman" w:eastAsia="Calibri" w:hAnsi="Times New Roman" w:cs="Times New Roman"/>
          <w:sz w:val="24"/>
          <w:szCs w:val="24"/>
        </w:rPr>
        <w:t xml:space="preserve">INSEE. </w:t>
      </w:r>
      <w:r w:rsidR="009022AE" w:rsidRPr="00E97E0B">
        <w:rPr>
          <w:rFonts w:ascii="Times New Roman" w:eastAsia="Calibri" w:hAnsi="Times New Roman" w:cs="Times New Roman"/>
          <w:sz w:val="24"/>
          <w:szCs w:val="24"/>
        </w:rPr>
        <w:t>“</w:t>
      </w:r>
      <w:r w:rsidR="002858AE" w:rsidRPr="00E97E0B">
        <w:rPr>
          <w:rFonts w:ascii="Times New Roman" w:eastAsia="Calibri" w:hAnsi="Times New Roman" w:cs="Times New Roman"/>
          <w:sz w:val="24"/>
          <w:szCs w:val="24"/>
          <w:lang w:val="en-US"/>
        </w:rPr>
        <w:t>Bilan démographique 2012 La population croît, mais plus modérément</w:t>
      </w:r>
      <w:r w:rsidR="003A5884" w:rsidRPr="00E97E0B">
        <w:rPr>
          <w:rFonts w:ascii="Times New Roman" w:eastAsia="Calibri" w:hAnsi="Times New Roman" w:cs="Times New Roman"/>
          <w:sz w:val="24"/>
          <w:szCs w:val="24"/>
          <w:lang w:val="en-US"/>
        </w:rPr>
        <w:t>.</w:t>
      </w:r>
      <w:r w:rsidR="009022AE" w:rsidRPr="00E97E0B">
        <w:rPr>
          <w:rFonts w:ascii="Times New Roman" w:eastAsia="Calibri" w:hAnsi="Times New Roman" w:cs="Times New Roman"/>
          <w:sz w:val="24"/>
          <w:szCs w:val="24"/>
          <w:lang w:val="en-US"/>
        </w:rPr>
        <w:t>” Statistiques et Etudes. [Erişim 10.08.2022].</w:t>
      </w:r>
      <w:r w:rsidR="002858AE" w:rsidRPr="00E97E0B">
        <w:rPr>
          <w:rFonts w:ascii="Times New Roman" w:eastAsia="Calibri" w:hAnsi="Times New Roman" w:cs="Times New Roman"/>
          <w:sz w:val="24"/>
          <w:szCs w:val="24"/>
          <w:lang w:val="en-US"/>
        </w:rPr>
        <w:t xml:space="preserve"> https://www.insee.fr/fr/statistiques/1281416 </w:t>
      </w:r>
      <w:bookmarkEnd w:id="278"/>
    </w:p>
    <w:p w14:paraId="78E3BDF7" w14:textId="531D7FF3" w:rsidR="002858AE" w:rsidRPr="00E97E0B" w:rsidRDefault="008F5168" w:rsidP="002858AE">
      <w:pPr>
        <w:spacing w:before="120" w:after="120" w:line="240" w:lineRule="auto"/>
        <w:jc w:val="both"/>
        <w:rPr>
          <w:rFonts w:ascii="Times New Roman" w:eastAsia="Calibri" w:hAnsi="Times New Roman" w:cs="Times New Roman"/>
          <w:sz w:val="24"/>
          <w:szCs w:val="24"/>
          <w:lang w:val="en-US"/>
        </w:rPr>
      </w:pPr>
      <w:bookmarkStart w:id="279" w:name="_Hlk136298471"/>
      <w:r w:rsidRPr="00E97E0B">
        <w:rPr>
          <w:rFonts w:ascii="Times New Roman" w:eastAsia="Calibri" w:hAnsi="Times New Roman" w:cs="Times New Roman"/>
          <w:sz w:val="24"/>
          <w:szCs w:val="24"/>
        </w:rPr>
        <w:lastRenderedPageBreak/>
        <w:t>___________.</w:t>
      </w:r>
      <w:r w:rsidR="003A5884" w:rsidRPr="00E97E0B">
        <w:rPr>
          <w:rFonts w:ascii="Times New Roman" w:eastAsia="Calibri" w:hAnsi="Times New Roman" w:cs="Times New Roman"/>
          <w:sz w:val="24"/>
          <w:szCs w:val="24"/>
        </w:rPr>
        <w:t xml:space="preserve"> “</w:t>
      </w:r>
      <w:r w:rsidR="002858AE" w:rsidRPr="00E97E0B">
        <w:rPr>
          <w:rFonts w:ascii="Times New Roman" w:eastAsia="Calibri" w:hAnsi="Times New Roman" w:cs="Times New Roman"/>
          <w:sz w:val="24"/>
          <w:szCs w:val="24"/>
          <w:lang w:val="en-US"/>
        </w:rPr>
        <w:t>Bilan démographique 2022,</w:t>
      </w:r>
      <w:r w:rsidR="003A5884" w:rsidRPr="00E97E0B">
        <w:rPr>
          <w:rFonts w:ascii="Times New Roman" w:eastAsia="Calibri" w:hAnsi="Times New Roman" w:cs="Times New Roman"/>
          <w:sz w:val="24"/>
          <w:szCs w:val="24"/>
          <w:lang w:val="en-US"/>
        </w:rPr>
        <w:t>” Statistiques et Etudes.</w:t>
      </w:r>
      <w:r w:rsidR="002858AE" w:rsidRPr="00E97E0B">
        <w:rPr>
          <w:rFonts w:ascii="Times New Roman" w:eastAsia="Calibri" w:hAnsi="Times New Roman" w:cs="Times New Roman"/>
          <w:sz w:val="24"/>
          <w:szCs w:val="24"/>
          <w:lang w:val="en-US"/>
        </w:rPr>
        <w:t xml:space="preserve"> </w:t>
      </w:r>
      <w:r w:rsidR="003A5884" w:rsidRPr="00E97E0B">
        <w:rPr>
          <w:rFonts w:ascii="Times New Roman" w:eastAsia="Calibri" w:hAnsi="Times New Roman" w:cs="Times New Roman"/>
          <w:sz w:val="24"/>
          <w:szCs w:val="24"/>
          <w:lang w:val="en-US"/>
        </w:rPr>
        <w:t>[Erişim 10.08.2022]</w:t>
      </w:r>
      <w:r w:rsidR="003562E2" w:rsidRPr="00E97E0B">
        <w:rPr>
          <w:rFonts w:ascii="Times New Roman" w:eastAsia="Calibri" w:hAnsi="Times New Roman" w:cs="Times New Roman"/>
          <w:sz w:val="24"/>
          <w:szCs w:val="24"/>
          <w:lang w:val="en-US"/>
        </w:rPr>
        <w:t xml:space="preserve"> </w:t>
      </w:r>
      <w:r w:rsidR="002858AE" w:rsidRPr="00E97E0B">
        <w:rPr>
          <w:rFonts w:ascii="Times New Roman" w:eastAsia="Calibri" w:hAnsi="Times New Roman" w:cs="Times New Roman"/>
          <w:sz w:val="24"/>
          <w:szCs w:val="24"/>
          <w:lang w:val="en-US"/>
        </w:rPr>
        <w:t xml:space="preserve">https://www.insee.fr/fr/statistiques/6687000 </w:t>
      </w:r>
      <w:bookmarkEnd w:id="279"/>
    </w:p>
    <w:p w14:paraId="53FBB82C" w14:textId="20BF294C" w:rsidR="002858AE" w:rsidRPr="00E97E0B" w:rsidRDefault="008F5168" w:rsidP="002858AE">
      <w:pPr>
        <w:spacing w:before="120" w:after="120" w:line="240" w:lineRule="auto"/>
        <w:jc w:val="both"/>
        <w:rPr>
          <w:rFonts w:ascii="Times New Roman" w:eastAsia="Calibri" w:hAnsi="Times New Roman" w:cs="Times New Roman"/>
          <w:sz w:val="24"/>
          <w:szCs w:val="24"/>
        </w:rPr>
      </w:pPr>
      <w:bookmarkStart w:id="280" w:name="_Hlk136298463"/>
      <w:r w:rsidRPr="00E97E0B">
        <w:rPr>
          <w:rFonts w:ascii="Times New Roman" w:eastAsia="Calibri" w:hAnsi="Times New Roman" w:cs="Times New Roman"/>
          <w:sz w:val="24"/>
          <w:szCs w:val="24"/>
        </w:rPr>
        <w:t>___________.</w:t>
      </w:r>
      <w:r w:rsidR="003A5884" w:rsidRPr="00E97E0B">
        <w:rPr>
          <w:rFonts w:ascii="Times New Roman" w:eastAsia="Calibri" w:hAnsi="Times New Roman" w:cs="Times New Roman"/>
          <w:sz w:val="24"/>
          <w:szCs w:val="24"/>
        </w:rPr>
        <w:t xml:space="preserve"> “</w:t>
      </w:r>
      <w:r w:rsidR="002858AE" w:rsidRPr="00E97E0B">
        <w:rPr>
          <w:rFonts w:ascii="Times New Roman" w:eastAsia="Calibri" w:hAnsi="Times New Roman" w:cs="Times New Roman"/>
          <w:sz w:val="24"/>
          <w:szCs w:val="24"/>
          <w:lang w:val="en-US"/>
        </w:rPr>
        <w:t>Populations française, étrangère et immigrée en France depuis 2006</w:t>
      </w:r>
      <w:r w:rsidR="003A5884" w:rsidRPr="00E97E0B">
        <w:rPr>
          <w:rFonts w:ascii="Times New Roman" w:eastAsia="Calibri" w:hAnsi="Times New Roman" w:cs="Times New Roman"/>
          <w:sz w:val="24"/>
          <w:szCs w:val="24"/>
          <w:lang w:val="en-US"/>
        </w:rPr>
        <w:t>.”</w:t>
      </w:r>
      <w:r w:rsidR="002858AE" w:rsidRPr="00E97E0B">
        <w:rPr>
          <w:rFonts w:ascii="Times New Roman" w:eastAsia="Calibri" w:hAnsi="Times New Roman" w:cs="Times New Roman"/>
          <w:sz w:val="24"/>
          <w:szCs w:val="24"/>
          <w:lang w:val="en-US"/>
        </w:rPr>
        <w:t xml:space="preserve"> </w:t>
      </w:r>
      <w:r w:rsidR="003A5884" w:rsidRPr="00E97E0B">
        <w:rPr>
          <w:rFonts w:ascii="Times New Roman" w:eastAsia="Calibri" w:hAnsi="Times New Roman" w:cs="Times New Roman"/>
          <w:sz w:val="24"/>
          <w:szCs w:val="24"/>
          <w:lang w:val="en-US"/>
        </w:rPr>
        <w:t xml:space="preserve">Statistiques et Etudes. </w:t>
      </w:r>
      <w:r w:rsidR="006E2505" w:rsidRPr="00E97E0B">
        <w:rPr>
          <w:rFonts w:ascii="Times New Roman" w:eastAsia="Calibri" w:hAnsi="Times New Roman" w:cs="Times New Roman"/>
          <w:sz w:val="24"/>
          <w:szCs w:val="24"/>
          <w:lang w:val="en-US"/>
        </w:rPr>
        <w:t xml:space="preserve">[Erişim 10.08.2022] </w:t>
      </w:r>
      <w:r w:rsidR="002858AE" w:rsidRPr="00E97E0B">
        <w:rPr>
          <w:rFonts w:ascii="Times New Roman" w:eastAsia="Calibri" w:hAnsi="Times New Roman" w:cs="Times New Roman"/>
          <w:sz w:val="24"/>
          <w:szCs w:val="24"/>
          <w:lang w:val="en-US"/>
        </w:rPr>
        <w:t xml:space="preserve">https://www.insee.fr/fr/statistiques/1410693 </w:t>
      </w:r>
      <w:bookmarkEnd w:id="280"/>
    </w:p>
    <w:p w14:paraId="7AD54B2B" w14:textId="73301328" w:rsidR="002858AE" w:rsidRPr="00E97E0B" w:rsidRDefault="008F5168"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3A5884" w:rsidRPr="00E97E0B">
        <w:rPr>
          <w:rFonts w:ascii="Times New Roman" w:eastAsia="Calibri" w:hAnsi="Times New Roman" w:cs="Times New Roman"/>
          <w:sz w:val="24"/>
          <w:szCs w:val="24"/>
        </w:rPr>
        <w:t>“</w:t>
      </w:r>
      <w:r w:rsidR="002858AE" w:rsidRPr="00E97E0B">
        <w:rPr>
          <w:rFonts w:ascii="Times New Roman" w:eastAsia="Calibri" w:hAnsi="Times New Roman" w:cs="Times New Roman"/>
          <w:sz w:val="24"/>
          <w:szCs w:val="24"/>
        </w:rPr>
        <w:t>L'essentiel sur... les immigrés et les étrangers</w:t>
      </w:r>
      <w:r w:rsidR="003A5884" w:rsidRPr="00E97E0B">
        <w:rPr>
          <w:rFonts w:ascii="Times New Roman" w:eastAsia="Calibri" w:hAnsi="Times New Roman" w:cs="Times New Roman"/>
          <w:sz w:val="24"/>
          <w:szCs w:val="24"/>
        </w:rPr>
        <w:t xml:space="preserve">.” </w:t>
      </w:r>
      <w:r w:rsidR="003A5884" w:rsidRPr="00E97E0B">
        <w:rPr>
          <w:rFonts w:ascii="Times New Roman" w:eastAsia="Calibri" w:hAnsi="Times New Roman" w:cs="Times New Roman"/>
          <w:sz w:val="24"/>
          <w:szCs w:val="24"/>
          <w:lang w:val="en-US"/>
        </w:rPr>
        <w:t>Statistiques et Etudes.</w:t>
      </w:r>
      <w:r w:rsidR="003A5884" w:rsidRPr="00E97E0B">
        <w:rPr>
          <w:rFonts w:ascii="Times New Roman" w:eastAsia="Calibri" w:hAnsi="Times New Roman" w:cs="Times New Roman"/>
          <w:sz w:val="24"/>
          <w:szCs w:val="24"/>
        </w:rPr>
        <w:t xml:space="preserve"> [Erişim: 01.03.2022]</w:t>
      </w:r>
      <w:r w:rsidR="003A5884" w:rsidRPr="00E97E0B">
        <w:rPr>
          <w:rFonts w:ascii="Times New Roman" w:eastAsia="Calibri" w:hAnsi="Times New Roman" w:cs="Times New Roman"/>
          <w:sz w:val="24"/>
          <w:szCs w:val="24"/>
          <w:lang w:val="en-US"/>
        </w:rPr>
        <w:t>.</w:t>
      </w:r>
      <w:r w:rsidR="002858AE" w:rsidRPr="00E97E0B">
        <w:rPr>
          <w:rFonts w:ascii="Times New Roman" w:eastAsia="Calibri" w:hAnsi="Times New Roman" w:cs="Times New Roman"/>
          <w:sz w:val="24"/>
          <w:szCs w:val="24"/>
        </w:rPr>
        <w:t xml:space="preserve"> https://www.insee.fr/fr/statistiques/3633212 </w:t>
      </w:r>
    </w:p>
    <w:p w14:paraId="63B1B2FF" w14:textId="0EA12637"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İnalcık</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Halil</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“Political Modernization in Turkey” in </w:t>
      </w:r>
      <w:r w:rsidRPr="00E97E0B">
        <w:rPr>
          <w:rFonts w:ascii="Times New Roman" w:eastAsia="Calibri" w:hAnsi="Times New Roman" w:cs="Times New Roman"/>
          <w:i/>
          <w:sz w:val="24"/>
          <w:szCs w:val="24"/>
        </w:rPr>
        <w:t>From Empire to Republic: Essays on Ottoman and Turkish Social History</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İstanbul, The Isis Press, 1995, 123-142.</w:t>
      </w:r>
    </w:p>
    <w:p w14:paraId="5743B963" w14:textId="17C7BB5D" w:rsidR="00A52005" w:rsidRPr="00E97E0B" w:rsidRDefault="00A52005"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interieur.gouv.fr. “Conférence de presse sur l'immigration</w:t>
      </w:r>
      <w:r w:rsidR="0093489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11.12.2006. [Erişim: 10.01.2022].  https://mobile.interieur.gouv.fr/Archives/Archives-ministres-de-l-Interieur/Archives-de-Nicolas-Sarkozy-2005-2007/Interventions/11.12.2006-Conference-de-presse-sur-l-immigration </w:t>
      </w:r>
    </w:p>
    <w:p w14:paraId="0AA35F92" w14:textId="04814D65" w:rsidR="00A52005" w:rsidRPr="00E97E0B" w:rsidRDefault="00E9149D"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___________.</w:t>
      </w:r>
      <w:r w:rsidR="0074516B" w:rsidRPr="00E97E0B">
        <w:rPr>
          <w:rFonts w:ascii="Times New Roman" w:eastAsia="Calibri" w:hAnsi="Times New Roman" w:cs="Times New Roman"/>
          <w:sz w:val="24"/>
          <w:szCs w:val="24"/>
        </w:rPr>
        <w:t xml:space="preserve"> “Les différentes élections.” [Erişim: 01.02.2022]. https://mobile.interieur.gouv.fr/Archives/Archives-elections/Les-elections-en-France/Les-differentes-elections </w:t>
      </w:r>
    </w:p>
    <w:p w14:paraId="4178B539" w14:textId="13DCD439" w:rsidR="00D2671D" w:rsidRPr="00E97E0B" w:rsidRDefault="00E9149D" w:rsidP="00D2671D">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D2671D" w:rsidRPr="00E97E0B">
        <w:rPr>
          <w:rFonts w:ascii="Times New Roman" w:eastAsia="Calibri" w:hAnsi="Times New Roman" w:cs="Times New Roman"/>
          <w:sz w:val="24"/>
          <w:szCs w:val="24"/>
        </w:rPr>
        <w:t xml:space="preserve">“Résultats de l'élection présidentielle 2007.” Présidentielles. [Erişim: 10.01.2022]. https://www.interieur.gouv.fr/Elections/Les-resultats/Presidentielles/elecresult__presidentielle_2007/(path)/presidentielle_2007/FE.html </w:t>
      </w:r>
    </w:p>
    <w:p w14:paraId="13AF54BD" w14:textId="318FF490" w:rsidR="00D2671D" w:rsidRPr="00E97E0B" w:rsidRDefault="00836A8D"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İnterhaber. “Erdoğan’dan Kazlıçeşme Bombaları.” [Erişim: 01.07.2022]. https://www.internethaber.com/erdogandan-kazlicesme-bombalari-289723h.htm </w:t>
      </w:r>
    </w:p>
    <w:p w14:paraId="332CBC93" w14:textId="0F1E9746"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Jaspal</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Rusi</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“Social psychological debates about identity</w:t>
      </w:r>
      <w:r w:rsidR="0093489E"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Identity Process Theory: Identity, Social Action and Social Change</w:t>
      </w:r>
      <w:r w:rsidRPr="00E97E0B">
        <w:rPr>
          <w:rFonts w:ascii="Times New Roman" w:eastAsia="Calibri" w:hAnsi="Times New Roman" w:cs="Times New Roman"/>
          <w:sz w:val="24"/>
          <w:szCs w:val="24"/>
        </w:rPr>
        <w:t xml:space="preserve"> içinde Eds. Rusi Jaspal ve Glynis M. Breakwell, Cambridge: Cambridge University Press, 2016</w:t>
      </w:r>
      <w:r w:rsidR="00FB792E" w:rsidRPr="00E97E0B">
        <w:rPr>
          <w:rFonts w:ascii="Times New Roman" w:eastAsia="Calibri" w:hAnsi="Times New Roman" w:cs="Times New Roman"/>
          <w:sz w:val="24"/>
          <w:szCs w:val="24"/>
        </w:rPr>
        <w:t>.</w:t>
      </w:r>
    </w:p>
    <w:p w14:paraId="564B285F" w14:textId="5AD48EFC"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81" w:name="_Hlk136299011"/>
      <w:r w:rsidRPr="00E97E0B">
        <w:rPr>
          <w:rFonts w:ascii="Times New Roman" w:eastAsia="Calibri" w:hAnsi="Times New Roman" w:cs="Times New Roman"/>
          <w:sz w:val="24"/>
          <w:szCs w:val="24"/>
          <w:lang w:val="en-US"/>
        </w:rPr>
        <w:t>Jenkins</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Celia</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00080DE1" w:rsidRPr="00E97E0B">
        <w:rPr>
          <w:rFonts w:ascii="Times New Roman" w:eastAsia="Calibri" w:hAnsi="Times New Roman" w:cs="Times New Roman"/>
          <w:sz w:val="24"/>
          <w:szCs w:val="24"/>
          <w:lang w:val="en-US"/>
        </w:rPr>
        <w:t xml:space="preserve">Suavi </w:t>
      </w:r>
      <w:r w:rsidRPr="00E97E0B">
        <w:rPr>
          <w:rFonts w:ascii="Times New Roman" w:eastAsia="Calibri" w:hAnsi="Times New Roman" w:cs="Times New Roman"/>
          <w:sz w:val="24"/>
          <w:szCs w:val="24"/>
          <w:lang w:val="en-US"/>
        </w:rPr>
        <w:t>Aydın ve Umit</w:t>
      </w:r>
      <w:r w:rsidR="00080DE1" w:rsidRPr="00E97E0B">
        <w:rPr>
          <w:rFonts w:ascii="Times New Roman" w:eastAsia="Calibri" w:hAnsi="Times New Roman" w:cs="Times New Roman"/>
          <w:sz w:val="24"/>
          <w:szCs w:val="24"/>
          <w:lang w:val="en-US"/>
        </w:rPr>
        <w:t xml:space="preserve"> Cetin</w:t>
      </w:r>
      <w:r w:rsidRPr="00E97E0B">
        <w:rPr>
          <w:rFonts w:ascii="Times New Roman" w:eastAsia="Calibri" w:hAnsi="Times New Roman" w:cs="Times New Roman"/>
          <w:sz w:val="24"/>
          <w:szCs w:val="24"/>
          <w:lang w:val="en-US"/>
        </w:rPr>
        <w:t>,</w:t>
      </w:r>
      <w:r w:rsidRPr="00E97E0B">
        <w:rPr>
          <w:rFonts w:ascii="Times New Roman" w:eastAsia="Calibri" w:hAnsi="Times New Roman" w:cs="Times New Roman"/>
          <w:i/>
          <w:iCs/>
          <w:sz w:val="24"/>
          <w:szCs w:val="24"/>
          <w:lang w:val="en-US"/>
        </w:rPr>
        <w:t xml:space="preserve"> Alevism as an Ethno-Religious Identity</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Contested Boundaries</w:t>
      </w:r>
      <w:r w:rsidRPr="00E97E0B">
        <w:rPr>
          <w:rFonts w:ascii="Times New Roman" w:eastAsia="Calibri" w:hAnsi="Times New Roman" w:cs="Times New Roman"/>
          <w:sz w:val="24"/>
          <w:szCs w:val="24"/>
          <w:lang w:val="en-US"/>
        </w:rPr>
        <w:t>, Oxon: Routledge, 2018</w:t>
      </w:r>
      <w:bookmarkEnd w:id="281"/>
      <w:r w:rsidRPr="00E97E0B">
        <w:rPr>
          <w:rFonts w:ascii="Times New Roman" w:eastAsia="Calibri" w:hAnsi="Times New Roman" w:cs="Times New Roman"/>
          <w:sz w:val="24"/>
          <w:szCs w:val="24"/>
          <w:lang w:val="en-US"/>
        </w:rPr>
        <w:t>.</w:t>
      </w:r>
    </w:p>
    <w:p w14:paraId="1C589D9B" w14:textId="6E40FAF3"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Jorgensen</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Marianne W. ve Louise J.</w:t>
      </w:r>
      <w:r w:rsidR="00A60BB4" w:rsidRPr="00E97E0B">
        <w:rPr>
          <w:rFonts w:ascii="Times New Roman" w:eastAsia="Calibri" w:hAnsi="Times New Roman" w:cs="Times New Roman"/>
          <w:sz w:val="24"/>
          <w:szCs w:val="24"/>
        </w:rPr>
        <w:t xml:space="preserve"> Phillips.</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Discourse Analysis as Theory and Method</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London: Sage Publications, 2002.</w:t>
      </w:r>
    </w:p>
    <w:p w14:paraId="0EA2F5AA" w14:textId="5E686ED4" w:rsidR="002858AE" w:rsidRPr="00E97E0B" w:rsidRDefault="00CD7CF3" w:rsidP="00CD7CF3">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w:t>
      </w:r>
      <w:r w:rsidR="002858AE" w:rsidRPr="00E97E0B">
        <w:rPr>
          <w:rFonts w:ascii="Times New Roman" w:eastAsia="Calibri" w:hAnsi="Times New Roman" w:cs="Times New Roman"/>
          <w:sz w:val="24"/>
          <w:szCs w:val="24"/>
        </w:rPr>
        <w:t>Judaism in Turkey</w:t>
      </w:r>
      <w:r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002858AE" w:rsidRPr="00E97E0B">
        <w:rPr>
          <w:rFonts w:ascii="Times New Roman" w:eastAsia="Calibri" w:hAnsi="Times New Roman" w:cs="Times New Roman"/>
          <w:sz w:val="24"/>
          <w:szCs w:val="24"/>
        </w:rPr>
        <w:t xml:space="preserve"> Religion and Public Life</w:t>
      </w:r>
      <w:r w:rsidR="00A60BB4" w:rsidRPr="00E97E0B">
        <w:rPr>
          <w:rFonts w:ascii="Times New Roman" w:eastAsia="Calibri" w:hAnsi="Times New Roman" w:cs="Times New Roman"/>
          <w:sz w:val="24"/>
          <w:szCs w:val="24"/>
        </w:rPr>
        <w:t>.</w:t>
      </w:r>
      <w:r w:rsidR="002858AE" w:rsidRPr="00E97E0B">
        <w:rPr>
          <w:rFonts w:ascii="Times New Roman" w:eastAsia="Calibri" w:hAnsi="Times New Roman" w:cs="Times New Roman"/>
          <w:sz w:val="24"/>
          <w:szCs w:val="24"/>
        </w:rPr>
        <w:t xml:space="preserve"> </w:t>
      </w:r>
      <w:r w:rsidR="002858AE" w:rsidRPr="00E97E0B">
        <w:rPr>
          <w:rFonts w:ascii="Times New Roman" w:eastAsia="Calibri" w:hAnsi="Times New Roman" w:cs="Times New Roman"/>
          <w:i/>
          <w:iCs/>
          <w:sz w:val="24"/>
          <w:szCs w:val="24"/>
        </w:rPr>
        <w:t>Harvard Divinity Schoo</w:t>
      </w:r>
      <w:r w:rsidR="002858AE" w:rsidRPr="00E97E0B">
        <w:rPr>
          <w:rFonts w:ascii="Times New Roman" w:eastAsia="Calibri" w:hAnsi="Times New Roman" w:cs="Times New Roman"/>
          <w:sz w:val="24"/>
          <w:szCs w:val="24"/>
        </w:rPr>
        <w:t xml:space="preserve">l, </w:t>
      </w:r>
      <w:r w:rsidR="00897F91" w:rsidRPr="00E97E0B">
        <w:rPr>
          <w:rFonts w:ascii="Times New Roman" w:eastAsia="Calibri" w:hAnsi="Times New Roman" w:cs="Times New Roman"/>
          <w:sz w:val="24"/>
          <w:szCs w:val="24"/>
        </w:rPr>
        <w:t>[</w:t>
      </w:r>
      <w:r w:rsidR="002858AE" w:rsidRPr="00E97E0B">
        <w:rPr>
          <w:rFonts w:ascii="Times New Roman" w:eastAsia="Calibri" w:hAnsi="Times New Roman" w:cs="Times New Roman"/>
          <w:sz w:val="24"/>
          <w:szCs w:val="24"/>
        </w:rPr>
        <w:t>Erişim: 13.05.2022</w:t>
      </w:r>
      <w:r w:rsidR="00897F91" w:rsidRPr="00E97E0B">
        <w:rPr>
          <w:rFonts w:ascii="Times New Roman" w:eastAsia="Calibri" w:hAnsi="Times New Roman" w:cs="Times New Roman"/>
          <w:sz w:val="24"/>
          <w:szCs w:val="24"/>
        </w:rPr>
        <w:t>]</w:t>
      </w:r>
      <w:r w:rsidR="002858AE" w:rsidRPr="00E97E0B">
        <w:rPr>
          <w:rFonts w:ascii="Times New Roman" w:eastAsia="Calibri" w:hAnsi="Times New Roman" w:cs="Times New Roman"/>
          <w:sz w:val="24"/>
          <w:szCs w:val="24"/>
        </w:rPr>
        <w:t xml:space="preserve"> https://rpl.hds.harvard.edu/faq/judaism-turkey</w:t>
      </w:r>
    </w:p>
    <w:p w14:paraId="3AD18155" w14:textId="263DE67F" w:rsidR="002858AE" w:rsidRPr="00E97E0B" w:rsidRDefault="002858AE"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lang w:val="en-US"/>
        </w:rPr>
        <w:t>Karana Şenol</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Selin</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00B9792B"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Two Different Worlds but the Same Populism: Comparison of Hugo Chávez and Recep Tayyip Erdoğan</w:t>
      </w:r>
      <w:r w:rsidR="00B9792B"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00B9792B" w:rsidRPr="00E97E0B">
        <w:rPr>
          <w:rFonts w:ascii="Times New Roman" w:eastAsia="Calibri" w:hAnsi="Times New Roman" w:cs="Times New Roman"/>
          <w:sz w:val="24"/>
          <w:szCs w:val="24"/>
          <w:lang w:val="en-US"/>
        </w:rPr>
        <w:t xml:space="preserve">Yayınlanmış Doktora Tezi, </w:t>
      </w:r>
      <w:r w:rsidRPr="00E97E0B">
        <w:rPr>
          <w:rFonts w:ascii="Times New Roman" w:eastAsia="Calibri" w:hAnsi="Times New Roman" w:cs="Times New Roman"/>
          <w:sz w:val="24"/>
          <w:szCs w:val="24"/>
          <w:lang w:val="en-US"/>
        </w:rPr>
        <w:t>Yeditepe Üniversitesi, Sosyal Bilimler Enstitüsü, İstanbul 2017</w:t>
      </w:r>
      <w:r w:rsidR="00B9792B" w:rsidRPr="00E97E0B">
        <w:rPr>
          <w:rFonts w:ascii="Times New Roman" w:eastAsia="Calibri" w:hAnsi="Times New Roman" w:cs="Times New Roman"/>
          <w:sz w:val="24"/>
          <w:szCs w:val="24"/>
          <w:lang w:val="en-US"/>
        </w:rPr>
        <w:t>.</w:t>
      </w:r>
    </w:p>
    <w:p w14:paraId="125B627D" w14:textId="0157BB78"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Karataş</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İbrahim. “The Discourse of Brotherhood in Turkish Foreign Policy during the AK Party Era</w:t>
      </w:r>
      <w:r w:rsidR="000A1F4C"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Üsküdar Üniversitesi Sosyal Bilimler Dergisi,</w:t>
      </w:r>
      <w:r w:rsidRPr="00E97E0B">
        <w:rPr>
          <w:rFonts w:ascii="Times New Roman" w:eastAsia="Calibri" w:hAnsi="Times New Roman" w:cs="Times New Roman"/>
          <w:sz w:val="24"/>
          <w:szCs w:val="24"/>
        </w:rPr>
        <w:t xml:space="preserve"> S.12, (Mayıs 2021), 37-69, http://doi.org/10.32739/uskudarsbd.7.12.84</w:t>
      </w:r>
    </w:p>
    <w:p w14:paraId="56DE0942" w14:textId="57919EF5"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lastRenderedPageBreak/>
        <w:t>Karayel Yeşilbaş</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Beyza</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“Media, nationalism and violence: A critical discourse analysis of a news about 'Others</w:t>
      </w:r>
      <w:r w:rsidR="00127DF1"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Galatasaray Üniversitesi, Sosyal Bilimler Enstitüsü, 2015, İstanbul, Yayımlanmış Yüksek Lisans Tezi.</w:t>
      </w:r>
    </w:p>
    <w:p w14:paraId="1F161D7E" w14:textId="62FFF6E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Karolewski</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Janina</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“What is Heterodox About Alevism? The Development of Anti-Alevi Discrimination and Resentment</w:t>
      </w:r>
      <w:r w:rsidR="00290CE0"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Die Welt des Islams, New Series</w:t>
      </w:r>
      <w:r w:rsidRPr="00E97E0B">
        <w:rPr>
          <w:rFonts w:ascii="Times New Roman" w:eastAsia="Calibri" w:hAnsi="Times New Roman" w:cs="Times New Roman"/>
          <w:sz w:val="24"/>
          <w:szCs w:val="24"/>
        </w:rPr>
        <w:t xml:space="preserve">, </w:t>
      </w:r>
      <w:r w:rsidR="00CD7AC4"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48, S. 3/4, 2008</w:t>
      </w:r>
    </w:p>
    <w:p w14:paraId="2E762F8F" w14:textId="25C8489A"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82" w:name="_Hlk136298261"/>
      <w:r w:rsidRPr="00E97E0B">
        <w:rPr>
          <w:rFonts w:ascii="Times New Roman" w:eastAsia="Calibri" w:hAnsi="Times New Roman" w:cs="Times New Roman"/>
          <w:sz w:val="24"/>
          <w:szCs w:val="24"/>
          <w:lang w:val="en-US"/>
        </w:rPr>
        <w:t>Karpat</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Kemal</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Kısa Türkiye Tarihi: 1802-2012</w:t>
      </w:r>
      <w:r w:rsidR="005647F0" w:rsidRPr="00E97E0B">
        <w:rPr>
          <w:rFonts w:ascii="Times New Roman" w:eastAsia="Calibri" w:hAnsi="Times New Roman" w:cs="Times New Roman"/>
          <w:sz w:val="24"/>
          <w:szCs w:val="24"/>
          <w:lang w:val="en-US"/>
        </w:rPr>
        <w:t>.</w:t>
      </w:r>
      <w:r w:rsidR="00B0130F" w:rsidRPr="00E97E0B">
        <w:rPr>
          <w:rFonts w:ascii="Times New Roman" w:eastAsia="Calibri" w:hAnsi="Times New Roman" w:cs="Times New Roman"/>
          <w:sz w:val="24"/>
          <w:szCs w:val="24"/>
          <w:lang w:val="en-US"/>
        </w:rPr>
        <w:t xml:space="preserve"> 3. B</w:t>
      </w:r>
      <w:r w:rsidR="00E73807" w:rsidRPr="00E97E0B">
        <w:rPr>
          <w:rFonts w:ascii="Times New Roman" w:eastAsia="Calibri" w:hAnsi="Times New Roman" w:cs="Times New Roman"/>
          <w:sz w:val="24"/>
          <w:szCs w:val="24"/>
          <w:lang w:val="en-US"/>
        </w:rPr>
        <w:t>s.</w:t>
      </w:r>
      <w:r w:rsidR="00B0130F"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sz w:val="24"/>
          <w:szCs w:val="24"/>
          <w:lang w:val="en-US"/>
        </w:rPr>
        <w:t>İstanbul: Timaş Yayınları, 2013</w:t>
      </w:r>
      <w:bookmarkEnd w:id="282"/>
      <w:r w:rsidRPr="00E97E0B">
        <w:rPr>
          <w:rFonts w:ascii="Times New Roman" w:eastAsia="Calibri" w:hAnsi="Times New Roman" w:cs="Times New Roman"/>
          <w:sz w:val="24"/>
          <w:szCs w:val="24"/>
          <w:lang w:val="en-US"/>
        </w:rPr>
        <w:t>.</w:t>
      </w:r>
    </w:p>
    <w:p w14:paraId="070B510D" w14:textId="265BB3AD"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Kaya</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Ayhan</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“Multiculturalism and Minorities in Turkey</w:t>
      </w:r>
      <w:r w:rsidR="008423DD"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Challenging Multiculturalism</w:t>
      </w:r>
      <w:r w:rsidRPr="00E97E0B">
        <w:rPr>
          <w:rFonts w:ascii="Times New Roman" w:eastAsia="Calibri" w:hAnsi="Times New Roman" w:cs="Times New Roman"/>
          <w:sz w:val="24"/>
          <w:szCs w:val="24"/>
        </w:rPr>
        <w:t xml:space="preserve">, </w:t>
      </w:r>
      <w:r w:rsidR="00E16F2A" w:rsidRPr="00E97E0B">
        <w:rPr>
          <w:rFonts w:ascii="Times New Roman" w:eastAsia="Calibri" w:hAnsi="Times New Roman" w:cs="Times New Roman"/>
          <w:sz w:val="24"/>
          <w:szCs w:val="24"/>
        </w:rPr>
        <w:t>E</w:t>
      </w:r>
      <w:r w:rsidRPr="00E97E0B">
        <w:rPr>
          <w:rFonts w:ascii="Times New Roman" w:eastAsia="Calibri" w:hAnsi="Times New Roman" w:cs="Times New Roman"/>
          <w:sz w:val="24"/>
          <w:szCs w:val="24"/>
        </w:rPr>
        <w:t>d. Raymond Taras, Edinburgh University Press, 2013.</w:t>
      </w:r>
    </w:p>
    <w:p w14:paraId="583119DE" w14:textId="5F1E0E07"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83" w:name="_Hlk136297893"/>
      <w:r w:rsidRPr="00E97E0B">
        <w:rPr>
          <w:rFonts w:ascii="Times New Roman" w:eastAsia="Calibri" w:hAnsi="Times New Roman" w:cs="Times New Roman"/>
          <w:sz w:val="24"/>
          <w:szCs w:val="24"/>
          <w:lang w:val="en-US"/>
        </w:rPr>
        <w:t>Kılıç</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Hüseyin</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“Seçim Sistemleri Partiler Üzerine Yansıması ve Yeni Sistem Arayışları</w:t>
      </w:r>
      <w:r w:rsidR="00544350" w:rsidRPr="00E97E0B">
        <w:rPr>
          <w:rFonts w:ascii="Times New Roman" w:eastAsia="Calibri" w:hAnsi="Times New Roman" w:cs="Times New Roman"/>
          <w:sz w:val="24"/>
          <w:szCs w:val="24"/>
          <w:lang w:val="en-US"/>
        </w:rPr>
        <w:t>.</w:t>
      </w:r>
      <w:r w:rsidR="006617F6"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Yüksek Lisans Tezi, İstanbul Üniversitesi Sosyal Bilimler Enstitüsü</w:t>
      </w:r>
      <w:bookmarkEnd w:id="283"/>
      <w:r w:rsidRPr="00E97E0B">
        <w:rPr>
          <w:rFonts w:ascii="Times New Roman" w:eastAsia="Calibri" w:hAnsi="Times New Roman" w:cs="Times New Roman"/>
          <w:sz w:val="24"/>
          <w:szCs w:val="24"/>
          <w:lang w:val="en-US"/>
        </w:rPr>
        <w:t>.</w:t>
      </w:r>
    </w:p>
    <w:p w14:paraId="66D2D847" w14:textId="33FF9D9F" w:rsidR="00E507F0" w:rsidRPr="00E97E0B" w:rsidRDefault="00E507F0" w:rsidP="002858AE">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Kress, Gunther R..  </w:t>
      </w:r>
      <w:r w:rsidRPr="00E97E0B">
        <w:rPr>
          <w:rFonts w:ascii="Times New Roman" w:eastAsia="Calibri" w:hAnsi="Times New Roman" w:cs="Times New Roman"/>
          <w:i/>
          <w:iCs/>
          <w:sz w:val="24"/>
          <w:szCs w:val="24"/>
          <w:lang w:val="en-US"/>
        </w:rPr>
        <w:t>Linguistic Processes in Sociocultural Practice</w:t>
      </w:r>
      <w:r w:rsidRPr="00E97E0B">
        <w:rPr>
          <w:rFonts w:ascii="Times New Roman" w:eastAsia="Calibri" w:hAnsi="Times New Roman" w:cs="Times New Roman"/>
          <w:sz w:val="24"/>
          <w:szCs w:val="24"/>
          <w:lang w:val="en-US"/>
        </w:rPr>
        <w:t>, Geelong: Deakin University Press, 1985.</w:t>
      </w:r>
    </w:p>
    <w:p w14:paraId="6EBA31B0" w14:textId="01813B71"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84" w:name="_Hlk136298823"/>
      <w:r w:rsidRPr="00E97E0B">
        <w:rPr>
          <w:rFonts w:ascii="Times New Roman" w:eastAsia="Calibri" w:hAnsi="Times New Roman" w:cs="Times New Roman"/>
          <w:sz w:val="24"/>
          <w:szCs w:val="24"/>
          <w:lang w:val="en-US"/>
        </w:rPr>
        <w:t>Kutluay</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Erdoğan. </w:t>
      </w:r>
      <w:r w:rsidRPr="00E97E0B">
        <w:rPr>
          <w:rFonts w:ascii="Times New Roman" w:eastAsia="Calibri" w:hAnsi="Times New Roman" w:cs="Times New Roman"/>
          <w:i/>
          <w:iCs/>
          <w:sz w:val="24"/>
          <w:szCs w:val="24"/>
          <w:lang w:val="en-US"/>
        </w:rPr>
        <w:t>Alevilik Bektaşilik</w:t>
      </w:r>
      <w:r w:rsidRPr="00E97E0B">
        <w:rPr>
          <w:rFonts w:ascii="Times New Roman" w:eastAsia="Calibri" w:hAnsi="Times New Roman" w:cs="Times New Roman"/>
          <w:sz w:val="24"/>
          <w:szCs w:val="24"/>
          <w:lang w:val="en-US"/>
        </w:rPr>
        <w:t>, 1. Baskı, İstanbul: İletişim Yayınları, 1993.</w:t>
      </w:r>
      <w:bookmarkEnd w:id="284"/>
    </w:p>
    <w:p w14:paraId="7811172F" w14:textId="3E254CC8"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Kuzey</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Yıldız Serdar, “Düşman Yaratmak ve Nefret Söylemi Bağlamında “Gone Girl” (Kayıp Kız) Filminin Göstergebilimsel Çözümlemesi</w:t>
      </w:r>
      <w:r w:rsidR="009B4695"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İletişim Çalışmaları Dergisi</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xml:space="preserve"> 7, S. 2, İstanbul, 2021.</w:t>
      </w:r>
    </w:p>
    <w:p w14:paraId="42B355CB" w14:textId="7D5B4B0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Laacher</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Smain</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“L’Islam des nouveaux Musulmans en terre d’immigration</w:t>
      </w:r>
      <w:r w:rsidR="005E2477"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Mouvements</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La Découverte</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xml:space="preserve"> 2, S. 38, 2005. </w:t>
      </w:r>
    </w:p>
    <w:p w14:paraId="325B446F" w14:textId="2824F887" w:rsidR="0058549E" w:rsidRPr="00E97E0B" w:rsidRDefault="0058549E" w:rsidP="0058549E">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Larousse.</w:t>
      </w:r>
      <w:r w:rsidRPr="00E97E0B">
        <w:rPr>
          <w:rFonts w:ascii="Times New Roman" w:eastAsia="Calibri" w:hAnsi="Times New Roman" w:cs="Times New Roman"/>
          <w:i/>
          <w:iCs/>
          <w:sz w:val="24"/>
          <w:szCs w:val="24"/>
          <w:lang w:val="en-US"/>
        </w:rPr>
        <w:t xml:space="preserve"> L’histoire de France pour ceux qui ont tout oublié,</w:t>
      </w:r>
      <w:r w:rsidRPr="00E97E0B">
        <w:rPr>
          <w:rFonts w:ascii="Times New Roman" w:eastAsia="Calibri" w:hAnsi="Times New Roman" w:cs="Times New Roman"/>
          <w:sz w:val="24"/>
          <w:szCs w:val="24"/>
          <w:lang w:val="en-US"/>
        </w:rPr>
        <w:t xml:space="preserve"> Paris, 2. B</w:t>
      </w:r>
      <w:r w:rsidR="00F6439D" w:rsidRPr="00E97E0B">
        <w:rPr>
          <w:rFonts w:ascii="Times New Roman" w:eastAsia="Calibri" w:hAnsi="Times New Roman" w:cs="Times New Roman"/>
          <w:sz w:val="24"/>
          <w:szCs w:val="24"/>
          <w:lang w:val="en-US"/>
        </w:rPr>
        <w:t>s.</w:t>
      </w:r>
      <w:r w:rsidRPr="00E97E0B">
        <w:rPr>
          <w:rFonts w:ascii="Times New Roman" w:eastAsia="Calibri" w:hAnsi="Times New Roman" w:cs="Times New Roman"/>
          <w:sz w:val="24"/>
          <w:szCs w:val="24"/>
          <w:lang w:val="en-US"/>
        </w:rPr>
        <w:t xml:space="preserve"> 2013.</w:t>
      </w:r>
    </w:p>
    <w:p w14:paraId="02F93582" w14:textId="1D8FA91B" w:rsidR="00DD6FA3" w:rsidRPr="00E97E0B" w:rsidRDefault="00DD6FA3"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Legifrance. “Chapitre V: La carte de séjour portant la mention "compétences et talents" (Articles L315-1 à L315-9)</w:t>
      </w:r>
      <w:r w:rsidR="00D0702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Code de l'entrée et du séjour des étrangers et du droit d'asile: Version en vigueur du 21 novembre 2007 au 01 novembre 2016, [Erişim: 01.03.2022]</w:t>
      </w:r>
      <w:r w:rsidR="0008332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https://www.legifrance.gouv.fr/codes/article_lc/LEGIARTI000006335119/2007-11-21.https://www.legifrance.gouv.fr/codes/article_lc/LEGIARTI000006335119/2007-11-21</w:t>
      </w:r>
    </w:p>
    <w:p w14:paraId="74EF1FFD" w14:textId="2A8C4CB9" w:rsidR="002858AE" w:rsidRPr="00E97E0B" w:rsidRDefault="00D90D98"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Le Monde Afrique</w:t>
      </w:r>
      <w:r w:rsidR="00841B0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2858AE" w:rsidRPr="00E97E0B">
        <w:rPr>
          <w:rFonts w:ascii="Times New Roman" w:eastAsia="Calibri" w:hAnsi="Times New Roman" w:cs="Times New Roman"/>
          <w:sz w:val="24"/>
          <w:szCs w:val="24"/>
        </w:rPr>
        <w:t>Le discours de Dakar de Nicolas Sarkozy</w:t>
      </w:r>
      <w:r w:rsidRPr="00E97E0B">
        <w:rPr>
          <w:rFonts w:ascii="Times New Roman" w:eastAsia="Calibri" w:hAnsi="Times New Roman" w:cs="Times New Roman"/>
          <w:sz w:val="24"/>
          <w:szCs w:val="24"/>
        </w:rPr>
        <w:t>.”</w:t>
      </w:r>
      <w:r w:rsidR="002858AE"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 xml:space="preserve">[Erişim: 25.03.2022]. </w:t>
      </w:r>
      <w:r w:rsidR="002858AE" w:rsidRPr="00E97E0B">
        <w:rPr>
          <w:rFonts w:ascii="Times New Roman" w:eastAsia="Calibri" w:hAnsi="Times New Roman" w:cs="Times New Roman"/>
          <w:sz w:val="24"/>
          <w:szCs w:val="24"/>
        </w:rPr>
        <w:t xml:space="preserve">https://www.lemonde.fr/afrique/article/2007/11/09/le-discours-de-dakar_976786_3212.html </w:t>
      </w:r>
    </w:p>
    <w:p w14:paraId="524C9319" w14:textId="2D18A598" w:rsidR="007537B2" w:rsidRPr="00E97E0B" w:rsidRDefault="007537B2" w:rsidP="007537B2">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Le </w:t>
      </w:r>
      <w:r w:rsidR="00DD6FA3" w:rsidRPr="00E97E0B">
        <w:rPr>
          <w:rFonts w:ascii="Times New Roman" w:eastAsia="Calibri" w:hAnsi="Times New Roman" w:cs="Times New Roman"/>
          <w:sz w:val="24"/>
          <w:szCs w:val="24"/>
          <w:lang w:val="en-US"/>
        </w:rPr>
        <w:t>M</w:t>
      </w:r>
      <w:r w:rsidRPr="00E97E0B">
        <w:rPr>
          <w:rFonts w:ascii="Times New Roman" w:eastAsia="Calibri" w:hAnsi="Times New Roman" w:cs="Times New Roman"/>
          <w:sz w:val="24"/>
          <w:szCs w:val="24"/>
          <w:lang w:val="en-US"/>
        </w:rPr>
        <w:t>onde</w:t>
      </w:r>
      <w:r w:rsidR="00841B0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“Discours de Nicolas Sarkozy à Riyad le 14 janvier 2008.” 24.04.2008, [Erişim 20.08.2022]. https://www.lemonde.fr/politique/article/2008/04/24/discours-de-nicolas-sarkozy-a-riyad-le-14-janvier-2008_1038207_823448.html  </w:t>
      </w:r>
    </w:p>
    <w:p w14:paraId="178F5EBC" w14:textId="1CEAC7D4" w:rsidR="00A7063E" w:rsidRPr="00E97E0B" w:rsidRDefault="00841B03" w:rsidP="00A7063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A7063E" w:rsidRPr="00E97E0B">
        <w:rPr>
          <w:rFonts w:ascii="Times New Roman" w:eastAsia="Calibri" w:hAnsi="Times New Roman" w:cs="Times New Roman"/>
          <w:sz w:val="24"/>
          <w:szCs w:val="24"/>
        </w:rPr>
        <w:t xml:space="preserve">“Discours de Nicolas Sarkozy au dîner annuel du CRIF le 13 février 2008.” [Erişim: 15.04.2022]. </w:t>
      </w:r>
      <w:r w:rsidR="00E824DA" w:rsidRPr="00E97E0B">
        <w:rPr>
          <w:rFonts w:ascii="Times New Roman" w:eastAsia="Calibri" w:hAnsi="Times New Roman" w:cs="Times New Roman"/>
          <w:sz w:val="24"/>
          <w:szCs w:val="24"/>
        </w:rPr>
        <w:t>https://www.lemonde.fr/politique/article/2008/04/28/discours-de-nicolas-sarkozy-au-diner-annuel-du-crif-le-13-fevrier-2008_1038752_823448.html</w:t>
      </w:r>
      <w:r w:rsidR="00A7063E" w:rsidRPr="00E97E0B">
        <w:rPr>
          <w:rFonts w:ascii="Times New Roman" w:eastAsia="Calibri" w:hAnsi="Times New Roman" w:cs="Times New Roman"/>
          <w:sz w:val="24"/>
          <w:szCs w:val="24"/>
        </w:rPr>
        <w:t xml:space="preserve"> </w:t>
      </w:r>
    </w:p>
    <w:p w14:paraId="0F1E3736" w14:textId="5095D52A" w:rsidR="00A24DE4" w:rsidRPr="00E97E0B" w:rsidRDefault="00841B03" w:rsidP="00A7063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 xml:space="preserve">___________. </w:t>
      </w:r>
      <w:r w:rsidR="00A24DE4" w:rsidRPr="00E97E0B">
        <w:rPr>
          <w:rFonts w:ascii="Times New Roman" w:eastAsia="Calibri" w:hAnsi="Times New Roman" w:cs="Times New Roman"/>
          <w:sz w:val="24"/>
          <w:szCs w:val="24"/>
        </w:rPr>
        <w:t xml:space="preserve">“Le terrorisme et les émeutes n'ont "rien à voir avec l'islam” selon Nicolas Sarkozy.” Société. [Erişim: 07.02.2022]. https://www.lemonde.fr/societe/article/2005/12/18/le-terrorisme-et-les-emeutes-n-ont-rien-a-voir-avec-l-islam-selon-nicolas-sarkozy_722730_3224.html </w:t>
      </w:r>
    </w:p>
    <w:p w14:paraId="07C816B5" w14:textId="0155D61E" w:rsidR="00E824DA" w:rsidRPr="00E97E0B" w:rsidRDefault="00841B03" w:rsidP="00A7063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E824DA" w:rsidRPr="00E97E0B">
        <w:rPr>
          <w:rFonts w:ascii="Times New Roman" w:eastAsia="Calibri" w:hAnsi="Times New Roman" w:cs="Times New Roman"/>
          <w:sz w:val="24"/>
          <w:szCs w:val="24"/>
        </w:rPr>
        <w:t>“L'UMP recule sur la déchéance de nationalité.” Politique. 8.03.2011</w:t>
      </w:r>
      <w:r w:rsidR="00D83843" w:rsidRPr="00E97E0B">
        <w:rPr>
          <w:rFonts w:ascii="Times New Roman" w:eastAsia="Calibri" w:hAnsi="Times New Roman" w:cs="Times New Roman"/>
          <w:sz w:val="24"/>
          <w:szCs w:val="24"/>
        </w:rPr>
        <w:t>.</w:t>
      </w:r>
      <w:r w:rsidR="00E824DA" w:rsidRPr="00E97E0B">
        <w:rPr>
          <w:rFonts w:ascii="Times New Roman" w:eastAsia="Calibri" w:hAnsi="Times New Roman" w:cs="Times New Roman"/>
          <w:sz w:val="24"/>
          <w:szCs w:val="24"/>
        </w:rPr>
        <w:t xml:space="preserve"> [Erişim 19.03.2022]. https://www.lemonde.fr/politique/article/2011/03/08/l-ump-recule-sur-la-decheance-de-nationalite_1490163_823448.html </w:t>
      </w:r>
    </w:p>
    <w:p w14:paraId="0B3B2548" w14:textId="5899E521" w:rsidR="00EE6E27" w:rsidRPr="00E97E0B" w:rsidRDefault="00EE6E27"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Le Parisien</w:t>
      </w:r>
      <w:r w:rsidR="00B932B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“Sarkozy pilonne le PS et les Verts sur le nucléaire</w:t>
      </w:r>
      <w:r w:rsidR="00FA0E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25.11.2011</w:t>
      </w:r>
      <w:r w:rsidR="00DF689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[Erişim: 18.05.2022]. https://www.leparisien.fr/elections/presidentielle/videos-sarkozy-pilonne-le-ps-et-les-verts-sur-le-nucleaire-25-11-2011-1738362.php </w:t>
      </w:r>
    </w:p>
    <w:p w14:paraId="04CC306C" w14:textId="16E38A4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Lemennicier</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Bertrand, Lescieux-Katir Hororine ve Grofman Bernard</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“The 2007 French Presidential Election</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Canadian Journal of Political Science,</w:t>
      </w:r>
      <w:r w:rsidRPr="00E97E0B">
        <w:rPr>
          <w:rFonts w:ascii="Times New Roman" w:eastAsia="Calibri" w:hAnsi="Times New Roman" w:cs="Times New Roman"/>
          <w:sz w:val="24"/>
          <w:szCs w:val="24"/>
        </w:rPr>
        <w:t xml:space="preserve"> </w:t>
      </w:r>
      <w:r w:rsidR="00CD7CF3"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43, S. 1 2010.</w:t>
      </w:r>
    </w:p>
    <w:p w14:paraId="131BF479" w14:textId="7CD13939" w:rsidR="002858AE" w:rsidRPr="00E97E0B" w:rsidRDefault="00330D8B" w:rsidP="002858AE">
      <w:pPr>
        <w:spacing w:before="120" w:after="120" w:line="240" w:lineRule="auto"/>
        <w:jc w:val="both"/>
        <w:rPr>
          <w:rFonts w:ascii="Times New Roman" w:eastAsia="Calibri" w:hAnsi="Times New Roman" w:cs="Times New Roman"/>
          <w:sz w:val="24"/>
          <w:szCs w:val="24"/>
          <w:lang w:val="en-US"/>
        </w:rPr>
      </w:pPr>
      <w:bookmarkStart w:id="285" w:name="_Hlk136298482"/>
      <w:r w:rsidRPr="00E97E0B">
        <w:rPr>
          <w:rFonts w:ascii="Times New Roman" w:eastAsia="Calibri" w:hAnsi="Times New Roman" w:cs="Times New Roman"/>
          <w:sz w:val="24"/>
          <w:szCs w:val="24"/>
          <w:lang w:val="en-US"/>
        </w:rPr>
        <w:t>Direction de l’information légale et administrative, “</w:t>
      </w:r>
      <w:r w:rsidR="002858AE" w:rsidRPr="00E97E0B">
        <w:rPr>
          <w:rFonts w:ascii="Times New Roman" w:eastAsia="Calibri" w:hAnsi="Times New Roman" w:cs="Times New Roman"/>
          <w:sz w:val="24"/>
          <w:szCs w:val="24"/>
          <w:lang w:val="en-US"/>
        </w:rPr>
        <w:t>Les étrangers en France</w:t>
      </w:r>
      <w:r w:rsidR="00BE1B5E" w:rsidRPr="00E97E0B">
        <w:rPr>
          <w:rFonts w:ascii="Times New Roman" w:eastAsia="Calibri" w:hAnsi="Times New Roman" w:cs="Times New Roman"/>
          <w:sz w:val="24"/>
          <w:szCs w:val="24"/>
          <w:lang w:val="en-US"/>
        </w:rPr>
        <w:t>.</w:t>
      </w:r>
      <w:r w:rsidR="002858AE" w:rsidRPr="00E97E0B">
        <w:rPr>
          <w:rFonts w:ascii="Times New Roman" w:eastAsia="Calibri" w:hAnsi="Times New Roman" w:cs="Times New Roman"/>
          <w:sz w:val="24"/>
          <w:szCs w:val="24"/>
          <w:lang w:val="en-US"/>
        </w:rPr>
        <w:t xml:space="preserve"> “Année 2013 Onzième rapport établi en application de l'article L.111-10 du Code de l'entrée et du séjour des étrangers et du droit d'asile</w:t>
      </w:r>
      <w:r w:rsidR="00BE1B5E" w:rsidRPr="00E97E0B">
        <w:rPr>
          <w:rFonts w:ascii="Times New Roman" w:eastAsia="Calibri" w:hAnsi="Times New Roman" w:cs="Times New Roman"/>
          <w:sz w:val="24"/>
          <w:szCs w:val="24"/>
          <w:lang w:val="en-US"/>
        </w:rPr>
        <w:t>.</w:t>
      </w:r>
      <w:r w:rsidR="002858AE"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w:t>
      </w:r>
      <w:r w:rsidR="000F7E3B" w:rsidRPr="00E97E0B">
        <w:rPr>
          <w:rFonts w:ascii="Times New Roman" w:eastAsia="Calibri" w:hAnsi="Times New Roman" w:cs="Times New Roman"/>
          <w:sz w:val="24"/>
          <w:szCs w:val="24"/>
          <w:lang w:val="en-US"/>
        </w:rPr>
        <w:t xml:space="preserve"> </w:t>
      </w:r>
      <w:r w:rsidR="002858AE" w:rsidRPr="00E97E0B">
        <w:rPr>
          <w:rFonts w:ascii="Times New Roman" w:eastAsia="Calibri" w:hAnsi="Times New Roman" w:cs="Times New Roman"/>
          <w:sz w:val="24"/>
          <w:szCs w:val="24"/>
          <w:lang w:val="en-US"/>
        </w:rPr>
        <w:t>Rapport au Parlement sur les données de l’année 2013, Paris, 2014, 81.</w:t>
      </w:r>
      <w:bookmarkEnd w:id="285"/>
    </w:p>
    <w:p w14:paraId="327E7683" w14:textId="10F882D1" w:rsidR="002858AE" w:rsidRPr="00E97E0B" w:rsidRDefault="00330D8B" w:rsidP="002858AE">
      <w:pPr>
        <w:spacing w:before="120" w:after="12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___________.</w:t>
      </w:r>
      <w:r w:rsidRPr="00E97E0B">
        <w:rPr>
          <w:rFonts w:ascii="Times New Roman" w:eastAsia="Calibri" w:hAnsi="Times New Roman" w:cs="Times New Roman"/>
          <w:sz w:val="24"/>
          <w:szCs w:val="24"/>
          <w:lang w:val="en-US"/>
        </w:rPr>
        <w:t xml:space="preserve"> “</w:t>
      </w:r>
      <w:r w:rsidR="002858AE" w:rsidRPr="00E97E0B">
        <w:rPr>
          <w:rFonts w:ascii="Times New Roman" w:eastAsia="Calibri" w:hAnsi="Times New Roman" w:cs="Times New Roman"/>
          <w:sz w:val="24"/>
          <w:szCs w:val="24"/>
          <w:lang w:val="en-US"/>
        </w:rPr>
        <w:t>Les étrangers en France, “Dix-huitième rapport établi en application de l'article L.123-1 du Code de l'entrée et du séjour des étrangers et du droit d'asile</w:t>
      </w:r>
      <w:r w:rsidR="00055D41" w:rsidRPr="00E97E0B">
        <w:rPr>
          <w:rFonts w:ascii="Times New Roman" w:eastAsia="Calibri" w:hAnsi="Times New Roman" w:cs="Times New Roman"/>
          <w:sz w:val="24"/>
          <w:szCs w:val="24"/>
          <w:lang w:val="en-US"/>
        </w:rPr>
        <w:t>.</w:t>
      </w:r>
      <w:r w:rsidR="002858AE"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w:t>
      </w:r>
      <w:r w:rsidR="002858AE" w:rsidRPr="00E97E0B">
        <w:rPr>
          <w:rFonts w:ascii="Times New Roman" w:eastAsia="Calibri" w:hAnsi="Times New Roman" w:cs="Times New Roman"/>
          <w:sz w:val="24"/>
          <w:szCs w:val="24"/>
          <w:lang w:val="en-US"/>
        </w:rPr>
        <w:t xml:space="preserve"> Rapport au Parlement sur les données de l’année 2020, Paris, 2021, 83.</w:t>
      </w:r>
    </w:p>
    <w:p w14:paraId="52DFB64A" w14:textId="4C0CE2CC"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Liêm-Khê</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Luguern</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“La représentation des immigrants, Des immigrants en représentation? Le cas des Asiatiques, Vietnamiens en particulier</w:t>
      </w:r>
      <w:r w:rsidR="00055D41"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Hommes &amp; Migrations,</w:t>
      </w:r>
      <w:r w:rsidRPr="00E97E0B">
        <w:rPr>
          <w:rFonts w:ascii="Times New Roman" w:eastAsia="Calibri" w:hAnsi="Times New Roman" w:cs="Times New Roman"/>
          <w:sz w:val="24"/>
          <w:szCs w:val="24"/>
        </w:rPr>
        <w:t xml:space="preserve"> (Musée national de l'histoire de l'immigration Yayınevi, 2016), 141-145, https://doi.org.10.4000/hommesmigrations.3694</w:t>
      </w:r>
    </w:p>
    <w:p w14:paraId="07504BEF" w14:textId="316EACC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Lyotard</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Jean-François</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La Condition Postmoderne</w:t>
      </w:r>
      <w:r w:rsidR="00105E81"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Paris, Les éditions de minuit, 1979.</w:t>
      </w:r>
    </w:p>
    <w:p w14:paraId="2E7DB36B" w14:textId="4800C422"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Lyytinen</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Kalle J. ve </w:t>
      </w:r>
      <w:r w:rsidR="00463AD8" w:rsidRPr="00E97E0B">
        <w:rPr>
          <w:rFonts w:ascii="Times New Roman" w:eastAsia="Calibri" w:hAnsi="Times New Roman" w:cs="Times New Roman"/>
          <w:sz w:val="24"/>
          <w:szCs w:val="24"/>
        </w:rPr>
        <w:t xml:space="preserve">K. Heinz </w:t>
      </w:r>
      <w:r w:rsidRPr="00E97E0B">
        <w:rPr>
          <w:rFonts w:ascii="Times New Roman" w:eastAsia="Calibri" w:hAnsi="Times New Roman" w:cs="Times New Roman"/>
          <w:sz w:val="24"/>
          <w:szCs w:val="24"/>
        </w:rPr>
        <w:t>Klein</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“The Critical Theory of Jürgen Habermas</w:t>
      </w:r>
      <w:r w:rsidR="0057602D"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sz w:val="24"/>
          <w:szCs w:val="24"/>
        </w:rPr>
        <w:t>Research Methods in Information Systems</w:t>
      </w:r>
      <w:r w:rsidRPr="00E97E0B">
        <w:rPr>
          <w:rFonts w:ascii="Times New Roman" w:eastAsia="Calibri" w:hAnsi="Times New Roman" w:cs="Times New Roman"/>
          <w:sz w:val="24"/>
          <w:szCs w:val="24"/>
        </w:rPr>
        <w:t xml:space="preserve"> içinde, Eds E. Mumford et al., North-Holland: Elsevier Science Publishers, 1985.</w:t>
      </w:r>
    </w:p>
    <w:p w14:paraId="2758CE10" w14:textId="5A8666E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Mannheim</w:t>
      </w:r>
      <w:r w:rsidR="006F5DB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Karl</w:t>
      </w:r>
      <w:r w:rsidR="006F5DB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Ideology and Utopia</w:t>
      </w:r>
      <w:r w:rsidRPr="00E97E0B">
        <w:rPr>
          <w:rFonts w:ascii="Times New Roman" w:eastAsia="Calibri" w:hAnsi="Times New Roman" w:cs="Times New Roman"/>
          <w:sz w:val="24"/>
          <w:szCs w:val="24"/>
        </w:rPr>
        <w:t>, London: Routledge, 1998.</w:t>
      </w:r>
    </w:p>
    <w:p w14:paraId="14E60C83" w14:textId="522C2145"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86" w:name="_Hlk136299276"/>
      <w:r w:rsidRPr="00E97E0B">
        <w:rPr>
          <w:rFonts w:ascii="Times New Roman" w:eastAsia="Calibri" w:hAnsi="Times New Roman" w:cs="Times New Roman"/>
          <w:sz w:val="24"/>
          <w:szCs w:val="24"/>
          <w:lang w:val="en-US"/>
        </w:rPr>
        <w:t>Mardin</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Şerif. “Center-Periphery Relations: A Key to Turkish Politics?” </w:t>
      </w:r>
      <w:r w:rsidRPr="00E97E0B">
        <w:rPr>
          <w:rFonts w:ascii="Times New Roman" w:eastAsia="Calibri" w:hAnsi="Times New Roman" w:cs="Times New Roman"/>
          <w:i/>
          <w:iCs/>
          <w:sz w:val="24"/>
          <w:szCs w:val="24"/>
          <w:lang w:val="en-US"/>
        </w:rPr>
        <w:t>Daedalus</w:t>
      </w:r>
      <w:r w:rsidRPr="00E97E0B">
        <w:rPr>
          <w:rFonts w:ascii="Times New Roman" w:eastAsia="Calibri" w:hAnsi="Times New Roman" w:cs="Times New Roman"/>
          <w:sz w:val="24"/>
          <w:szCs w:val="24"/>
          <w:lang w:val="en-US"/>
        </w:rPr>
        <w:t xml:space="preserve"> </w:t>
      </w:r>
      <w:r w:rsidR="005C6DE8" w:rsidRPr="00E97E0B">
        <w:rPr>
          <w:rFonts w:ascii="Times New Roman" w:eastAsia="Calibri" w:hAnsi="Times New Roman" w:cs="Times New Roman"/>
          <w:sz w:val="24"/>
          <w:szCs w:val="24"/>
          <w:lang w:val="en-US"/>
        </w:rPr>
        <w:t xml:space="preserve">C. </w:t>
      </w:r>
      <w:r w:rsidRPr="00E97E0B">
        <w:rPr>
          <w:rFonts w:ascii="Times New Roman" w:eastAsia="Calibri" w:hAnsi="Times New Roman" w:cs="Times New Roman"/>
          <w:sz w:val="24"/>
          <w:szCs w:val="24"/>
          <w:lang w:val="en-US"/>
        </w:rPr>
        <w:t xml:space="preserve">102, </w:t>
      </w:r>
      <w:r w:rsidR="005C6DE8" w:rsidRPr="00E97E0B">
        <w:rPr>
          <w:rFonts w:ascii="Times New Roman" w:eastAsia="Calibri" w:hAnsi="Times New Roman" w:cs="Times New Roman"/>
          <w:sz w:val="24"/>
          <w:szCs w:val="24"/>
          <w:lang w:val="en-US"/>
        </w:rPr>
        <w:t>S.</w:t>
      </w:r>
      <w:r w:rsidRPr="00E97E0B">
        <w:rPr>
          <w:rFonts w:ascii="Times New Roman" w:eastAsia="Calibri" w:hAnsi="Times New Roman" w:cs="Times New Roman"/>
          <w:sz w:val="24"/>
          <w:szCs w:val="24"/>
          <w:lang w:val="en-US"/>
        </w:rPr>
        <w:t xml:space="preserve"> 1 (1973), 169–90. http://www.jstor.org/stable/20024114.</w:t>
      </w:r>
      <w:bookmarkEnd w:id="286"/>
    </w:p>
    <w:p w14:paraId="587AC91E" w14:textId="28727FF2"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Mbembe</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Achille</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“L’Afrique de Nicolas Sarkozy</w:t>
      </w:r>
      <w:r w:rsidR="00AF38C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Mouvement</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xml:space="preserve"> 4, S. 52, 2007.</w:t>
      </w:r>
    </w:p>
    <w:p w14:paraId="50871645" w14:textId="0EE6BDCA" w:rsidR="000B465B" w:rsidRPr="00E97E0B" w:rsidRDefault="000B465B"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Mearseheimer, John J.. </w:t>
      </w:r>
      <w:r w:rsidRPr="00E97E0B">
        <w:rPr>
          <w:rFonts w:ascii="Times New Roman" w:eastAsia="Calibri" w:hAnsi="Times New Roman" w:cs="Times New Roman"/>
          <w:i/>
          <w:iCs/>
          <w:sz w:val="24"/>
          <w:szCs w:val="24"/>
        </w:rPr>
        <w:t>Why Leaders Lie? The Truth about Lying in International Politics</w:t>
      </w:r>
      <w:r w:rsidRPr="00E97E0B">
        <w:rPr>
          <w:rFonts w:ascii="Times New Roman" w:eastAsia="Calibri" w:hAnsi="Times New Roman" w:cs="Times New Roman"/>
          <w:sz w:val="24"/>
          <w:szCs w:val="24"/>
        </w:rPr>
        <w:t>. New York: Oxford University Press, 2011.</w:t>
      </w:r>
    </w:p>
    <w:p w14:paraId="450B9DAA" w14:textId="1232E4BC" w:rsidR="00D90EAF" w:rsidRPr="00E97E0B" w:rsidRDefault="00D90EAF"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MINES Paris Tech. Une politique fiscale peut-elle être juste? Quelle politique fiscale pour quel choix de société?” Objet de la Contreverse, [Erişim: 02.05.2022]. https://controverses.minesparis.psl.eu/prive/promo11/promo11_G3/francois-hollande.html </w:t>
      </w:r>
    </w:p>
    <w:p w14:paraId="79826155" w14:textId="3EE4D735"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Mucchielli</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Laurent</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“Délinquance et immigration en France: un regard sociologique</w:t>
      </w:r>
      <w:r w:rsidR="008359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Criminologie</w:t>
      </w:r>
      <w:r w:rsidRPr="00E97E0B">
        <w:rPr>
          <w:rFonts w:ascii="Times New Roman" w:eastAsia="Calibri" w:hAnsi="Times New Roman" w:cs="Times New Roman"/>
          <w:sz w:val="24"/>
          <w:szCs w:val="24"/>
        </w:rPr>
        <w:t xml:space="preserve">, </w:t>
      </w:r>
      <w:r w:rsidR="005E2477"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36, S. 2, 2003.</w:t>
      </w:r>
    </w:p>
    <w:p w14:paraId="19DCE721" w14:textId="29D2083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Müller</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Juliette</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“Charité et solidarité, deux visions antagonistes</w:t>
      </w:r>
      <w:r w:rsidR="00AD1224"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GaucheHebdo, 21.12.2017, </w:t>
      </w:r>
      <w:r w:rsidR="00FB2F2D" w:rsidRPr="00E97E0B">
        <w:rPr>
          <w:rFonts w:ascii="Times New Roman" w:eastAsia="Calibri" w:hAnsi="Times New Roman" w:cs="Times New Roman"/>
          <w:sz w:val="24"/>
          <w:szCs w:val="24"/>
        </w:rPr>
        <w:t xml:space="preserve">[Erişim: 10.05.2022]. </w:t>
      </w:r>
      <w:r w:rsidRPr="00E97E0B">
        <w:rPr>
          <w:rFonts w:ascii="Times New Roman" w:eastAsia="Calibri" w:hAnsi="Times New Roman" w:cs="Times New Roman"/>
          <w:sz w:val="24"/>
          <w:szCs w:val="24"/>
        </w:rPr>
        <w:t xml:space="preserve">https://www.gauchebdo.ch/2017/12/21/charite-solidarite-deux-visions-antagonistes-coeur-rts-pauvrete-aide-sociale/ </w:t>
      </w:r>
    </w:p>
    <w:p w14:paraId="504DAFF3" w14:textId="0CB07F42" w:rsidR="00FB2F2D" w:rsidRPr="00E97E0B" w:rsidRDefault="00FB2F2D"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NTV</w:t>
      </w:r>
      <w:r w:rsidR="00887FE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“Erdoğan’ın Konuşmasının Tam Metni: Başbakan Erdoğan NTV Ankara Temsilcisi Murat Akgün'ün sorularını yanıtladı.” 11.06.2009, Erişim: 01.06.2022, </w:t>
      </w:r>
      <w:r w:rsidR="002E550F" w:rsidRPr="00E97E0B">
        <w:rPr>
          <w:rFonts w:ascii="Times New Roman" w:eastAsia="Calibri" w:hAnsi="Times New Roman" w:cs="Times New Roman"/>
          <w:sz w:val="24"/>
          <w:szCs w:val="24"/>
        </w:rPr>
        <w:t>https://www.ntv.com.tr/turkiye/mahir-unaldan-elestirilere-yanit,I3re8RYteEusmqI-e-XvKA</w:t>
      </w:r>
    </w:p>
    <w:p w14:paraId="2CCD4113" w14:textId="4BE474A7" w:rsidR="002E550F" w:rsidRPr="00E97E0B" w:rsidRDefault="00AA6695"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___________.</w:t>
      </w:r>
      <w:r w:rsidRPr="00E97E0B">
        <w:rPr>
          <w:rFonts w:ascii="Times New Roman" w:eastAsia="Calibri" w:hAnsi="Times New Roman" w:cs="Times New Roman"/>
          <w:iCs/>
          <w:sz w:val="24"/>
          <w:szCs w:val="24"/>
        </w:rPr>
        <w:t xml:space="preserve"> </w:t>
      </w:r>
      <w:r w:rsidR="002E550F" w:rsidRPr="00E97E0B">
        <w:rPr>
          <w:rFonts w:ascii="Times New Roman" w:eastAsia="Calibri" w:hAnsi="Times New Roman" w:cs="Times New Roman"/>
          <w:iCs/>
          <w:sz w:val="24"/>
          <w:szCs w:val="24"/>
        </w:rPr>
        <w:t xml:space="preserve">“Erdoğan: İbadet yeri camidir.” 21.02.2013, </w:t>
      </w:r>
      <w:bookmarkStart w:id="287" w:name="_Hlk119353865"/>
      <w:r w:rsidR="002E550F" w:rsidRPr="00E97E0B">
        <w:rPr>
          <w:rFonts w:ascii="Times New Roman" w:eastAsia="Calibri" w:hAnsi="Times New Roman" w:cs="Times New Roman"/>
          <w:sz w:val="24"/>
          <w:szCs w:val="24"/>
        </w:rPr>
        <w:t>[Erişim: 10.07.2022].</w:t>
      </w:r>
      <w:bookmarkEnd w:id="287"/>
      <w:r w:rsidR="002E550F" w:rsidRPr="00E97E0B">
        <w:rPr>
          <w:rFonts w:ascii="Times New Roman" w:eastAsia="Calibri" w:hAnsi="Times New Roman" w:cs="Times New Roman"/>
          <w:sz w:val="24"/>
          <w:szCs w:val="24"/>
        </w:rPr>
        <w:t xml:space="preserve"> </w:t>
      </w:r>
      <w:r w:rsidR="002E550F" w:rsidRPr="00E97E0B">
        <w:rPr>
          <w:rFonts w:ascii="Times New Roman" w:eastAsia="Calibri" w:hAnsi="Times New Roman" w:cs="Times New Roman"/>
          <w:iCs/>
          <w:sz w:val="24"/>
          <w:szCs w:val="24"/>
        </w:rPr>
        <w:t xml:space="preserve">https://www.ntv.com.tr/turkiye/erdogan-ibadet-yeri-camidir,TkSHrVw3ykm4RIk1uqV_sw </w:t>
      </w:r>
    </w:p>
    <w:p w14:paraId="4C1081C4" w14:textId="40EC541C"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88" w:name="_Hlk136297452"/>
      <w:r w:rsidRPr="00E97E0B">
        <w:rPr>
          <w:rFonts w:ascii="Times New Roman" w:eastAsia="Calibri" w:hAnsi="Times New Roman" w:cs="Times New Roman"/>
          <w:sz w:val="24"/>
          <w:szCs w:val="24"/>
          <w:lang w:val="en-US"/>
        </w:rPr>
        <w:t>Örmeci</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Ozan</w:t>
      </w:r>
      <w:r w:rsidR="00CD7CF3"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“Fransız Siyasi Kültürü</w:t>
      </w:r>
      <w:r w:rsidR="00021419"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 xml:space="preserve">Fransa Siyaseti ve Dış Politikası </w:t>
      </w:r>
      <w:r w:rsidRPr="00E97E0B">
        <w:rPr>
          <w:rFonts w:ascii="Times New Roman" w:eastAsia="Calibri" w:hAnsi="Times New Roman" w:cs="Times New Roman"/>
          <w:sz w:val="24"/>
          <w:szCs w:val="24"/>
          <w:lang w:val="en-US"/>
        </w:rPr>
        <w:t xml:space="preserve">içinde, </w:t>
      </w:r>
      <w:r w:rsidR="00E94CFA" w:rsidRPr="00E97E0B">
        <w:rPr>
          <w:rFonts w:ascii="Times New Roman" w:eastAsia="Calibri" w:hAnsi="Times New Roman" w:cs="Times New Roman"/>
          <w:sz w:val="24"/>
          <w:szCs w:val="24"/>
          <w:lang w:val="en-US"/>
        </w:rPr>
        <w:t>E</w:t>
      </w:r>
      <w:r w:rsidRPr="00E97E0B">
        <w:rPr>
          <w:rFonts w:ascii="Times New Roman" w:eastAsia="Calibri" w:hAnsi="Times New Roman" w:cs="Times New Roman"/>
          <w:sz w:val="24"/>
          <w:szCs w:val="24"/>
          <w:lang w:val="en-US"/>
        </w:rPr>
        <w:t>d</w:t>
      </w:r>
      <w:r w:rsidR="00E94CFA" w:rsidRPr="00E97E0B">
        <w:rPr>
          <w:rFonts w:ascii="Times New Roman" w:eastAsia="Calibri" w:hAnsi="Times New Roman" w:cs="Times New Roman"/>
          <w:sz w:val="24"/>
          <w:szCs w:val="24"/>
          <w:lang w:val="en-US"/>
        </w:rPr>
        <w:t>s.</w:t>
      </w:r>
      <w:r w:rsidRPr="00E97E0B">
        <w:rPr>
          <w:rFonts w:ascii="Times New Roman" w:eastAsia="Calibri" w:hAnsi="Times New Roman" w:cs="Times New Roman"/>
          <w:sz w:val="24"/>
          <w:szCs w:val="24"/>
          <w:lang w:val="en-US"/>
        </w:rPr>
        <w:t xml:space="preserve"> Ozan Örmeci ve Temmuz Yiğit Bezmez, İstanbul: Bilgesam Yayınları, 2019.</w:t>
      </w:r>
      <w:bookmarkEnd w:id="288"/>
    </w:p>
    <w:p w14:paraId="304F167E" w14:textId="00C797E0" w:rsidR="002858AE" w:rsidRPr="00E97E0B" w:rsidRDefault="002858AE" w:rsidP="002858AE">
      <w:pPr>
        <w:spacing w:before="120" w:after="120" w:line="240" w:lineRule="auto"/>
        <w:jc w:val="both"/>
        <w:rPr>
          <w:rFonts w:ascii="Times New Roman" w:eastAsia="Calibri" w:hAnsi="Times New Roman" w:cs="Times New Roman"/>
          <w:sz w:val="24"/>
          <w:szCs w:val="24"/>
        </w:rPr>
      </w:pPr>
      <w:bookmarkStart w:id="289" w:name="_Hlk136297906"/>
      <w:r w:rsidRPr="00E97E0B">
        <w:rPr>
          <w:rFonts w:ascii="Times New Roman" w:eastAsia="Calibri" w:hAnsi="Times New Roman" w:cs="Times New Roman"/>
          <w:sz w:val="24"/>
          <w:szCs w:val="24"/>
        </w:rPr>
        <w:t>Özbudun</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sz w:val="24"/>
          <w:szCs w:val="24"/>
        </w:rPr>
        <w:t>Ergun</w:t>
      </w:r>
      <w:r w:rsidR="00CD7CF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“Seçim Sitemleri ve Türkiye</w:t>
      </w:r>
      <w:r w:rsidR="00021419"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Ankara Üniversitesi Hukuk Fakültesi Dergisi</w:t>
      </w:r>
      <w:r w:rsidR="00021419"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C. 44</w:t>
      </w:r>
      <w:r w:rsidR="00021419"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Ankara, 1995</w:t>
      </w:r>
      <w:bookmarkEnd w:id="289"/>
      <w:r w:rsidRPr="00E97E0B">
        <w:rPr>
          <w:rFonts w:ascii="Times New Roman" w:eastAsia="Calibri" w:hAnsi="Times New Roman" w:cs="Times New Roman"/>
          <w:sz w:val="24"/>
          <w:szCs w:val="24"/>
        </w:rPr>
        <w:t>.</w:t>
      </w:r>
    </w:p>
    <w:p w14:paraId="651EB4E4" w14:textId="08D24CDA"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Perrault</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Guillaume</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“Marine Le Pen ne donne pas de consigne pour le second tour</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Le Figaro, 01.05.2012, https://www.lefigaro.fr/presidentielle-2012/2012/05/01/01039-20120501ARTFIG00183-marine-le-pen-votera-blanc-au-deuxieme-tour.php [Erişim: 25.05.2022].</w:t>
      </w:r>
    </w:p>
    <w:p w14:paraId="660E75DA" w14:textId="24EE677B"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Pınarbaşı</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Esat. “Sosyo-Politik Tutum ve Davranışların Sosyal Dışlanma Kavramı Ekseninde İncelenmesi: Hopa Örneği</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Karadeniz Araştırmaları,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xml:space="preserve"> 14, S. 56, Kış 2017.</w:t>
      </w:r>
    </w:p>
    <w:p w14:paraId="75BAE7AB" w14:textId="1AFA5CB5" w:rsidR="00A93BE5"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90" w:name="_Hlk136297788"/>
      <w:r w:rsidRPr="00E97E0B">
        <w:rPr>
          <w:rFonts w:ascii="Times New Roman" w:eastAsia="Calibri" w:hAnsi="Times New Roman" w:cs="Times New Roman"/>
          <w:sz w:val="24"/>
          <w:szCs w:val="24"/>
          <w:lang w:val="en-US"/>
        </w:rPr>
        <w:t>Poirmeur</w:t>
      </w:r>
      <w:r w:rsidR="00A774D4"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Yves. </w:t>
      </w:r>
      <w:r w:rsidRPr="00E97E0B">
        <w:rPr>
          <w:rFonts w:ascii="Times New Roman" w:eastAsia="Calibri" w:hAnsi="Times New Roman" w:cs="Times New Roman"/>
          <w:i/>
          <w:iCs/>
          <w:sz w:val="24"/>
          <w:szCs w:val="24"/>
          <w:lang w:val="en-US"/>
        </w:rPr>
        <w:t>Les partis politiques en France: Du XIXe au XXIe siècle en France</w:t>
      </w:r>
      <w:r w:rsidRPr="00E97E0B">
        <w:rPr>
          <w:rFonts w:ascii="Times New Roman" w:eastAsia="Calibri" w:hAnsi="Times New Roman" w:cs="Times New Roman"/>
          <w:sz w:val="24"/>
          <w:szCs w:val="24"/>
          <w:lang w:val="en-US"/>
        </w:rPr>
        <w:t>, Paris: LGDG Systèmes, Lextenso éditions, 2014</w:t>
      </w:r>
      <w:bookmarkEnd w:id="290"/>
      <w:r w:rsidRPr="00E97E0B">
        <w:rPr>
          <w:rFonts w:ascii="Times New Roman" w:eastAsia="Calibri" w:hAnsi="Times New Roman" w:cs="Times New Roman"/>
          <w:sz w:val="24"/>
          <w:szCs w:val="24"/>
          <w:lang w:val="en-US"/>
        </w:rPr>
        <w:t>.</w:t>
      </w:r>
    </w:p>
    <w:p w14:paraId="0049F850" w14:textId="149C2F8A" w:rsidR="00A93BE5" w:rsidRPr="00E97E0B" w:rsidRDefault="00A93BE5" w:rsidP="002858AE">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Population Reference Bureau</w:t>
      </w:r>
      <w:r w:rsidR="005313B0"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2012 World Population Data Sheet</w:t>
      </w:r>
      <w:r w:rsidR="005313B0"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[Erişim: 10.11.2022], www.prb.org, 8-11.</w:t>
      </w:r>
    </w:p>
    <w:p w14:paraId="23A302A1" w14:textId="7C990CD4"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Ramberg</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Bjørn</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Davidson’s Philosophy of Language</w:t>
      </w:r>
      <w:r w:rsidR="005313B0"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New Jersey: Wiley-Blackwell Publishing, 1991.</w:t>
      </w:r>
    </w:p>
    <w:p w14:paraId="43186ED9" w14:textId="62C5F3E2"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Rehmann</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Jan</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Theories of Ideology: The Powers of Alienation and Subjection</w:t>
      </w:r>
      <w:r w:rsidR="005313B0"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Leiden: Brill, 2013.</w:t>
      </w:r>
    </w:p>
    <w:p w14:paraId="1B614C22" w14:textId="2A146574"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Rejai</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Mostafa ve </w:t>
      </w:r>
      <w:r w:rsidR="005313B0" w:rsidRPr="00E97E0B">
        <w:rPr>
          <w:rFonts w:ascii="Times New Roman" w:eastAsia="Calibri" w:hAnsi="Times New Roman" w:cs="Times New Roman"/>
          <w:sz w:val="24"/>
          <w:szCs w:val="24"/>
        </w:rPr>
        <w:t xml:space="preserve">H. Cynthia </w:t>
      </w:r>
      <w:r w:rsidRPr="00E97E0B">
        <w:rPr>
          <w:rFonts w:ascii="Times New Roman" w:eastAsia="Calibri" w:hAnsi="Times New Roman" w:cs="Times New Roman"/>
          <w:sz w:val="24"/>
          <w:szCs w:val="24"/>
        </w:rPr>
        <w:t>Enloe</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“Nation-States and State-Nations</w:t>
      </w:r>
      <w:r w:rsidR="00A774D4"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International Studies Quarterly</w:t>
      </w:r>
      <w:r w:rsidR="00A774D4" w:rsidRPr="00E97E0B">
        <w:rPr>
          <w:rFonts w:ascii="Times New Roman" w:eastAsia="Calibri" w:hAnsi="Times New Roman" w:cs="Times New Roman"/>
          <w:i/>
          <w:iCs/>
          <w:sz w:val="24"/>
          <w:szCs w:val="24"/>
        </w:rPr>
        <w:t>.</w:t>
      </w:r>
      <w:r w:rsidRPr="00E97E0B">
        <w:rPr>
          <w:rFonts w:ascii="Times New Roman" w:eastAsia="Calibri" w:hAnsi="Times New Roman" w:cs="Times New Roman"/>
          <w:sz w:val="24"/>
          <w:szCs w:val="24"/>
        </w:rPr>
        <w:t xml:space="preserve"> </w:t>
      </w:r>
      <w:r w:rsidR="00A774D4"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.13, S. 2, 1969</w:t>
      </w:r>
    </w:p>
    <w:p w14:paraId="2FBDBC2B" w14:textId="6042E761" w:rsidR="00FC5714"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Repaire</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Sébastien</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“Les verts, la gauche et le parti socialiste: Entre convergences et malentendus</w:t>
      </w:r>
      <w:r w:rsidR="005313B0"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w:t>
      </w:r>
      <w:r w:rsidR="00941F66" w:rsidRPr="00E97E0B">
        <w:rPr>
          <w:rFonts w:ascii="Times New Roman" w:eastAsia="Calibri" w:hAnsi="Times New Roman" w:cs="Times New Roman"/>
          <w:sz w:val="24"/>
          <w:szCs w:val="24"/>
        </w:rPr>
        <w:t xml:space="preserve"> Fondation Jean Jaurès,</w:t>
      </w:r>
      <w:r w:rsidRPr="00E97E0B">
        <w:rPr>
          <w:rFonts w:ascii="Times New Roman" w:eastAsia="Calibri" w:hAnsi="Times New Roman" w:cs="Times New Roman"/>
          <w:sz w:val="24"/>
          <w:szCs w:val="24"/>
        </w:rPr>
        <w:t xml:space="preserve"> </w:t>
      </w:r>
      <w:r w:rsidR="00CC78DC" w:rsidRPr="00E97E0B">
        <w:rPr>
          <w:rFonts w:ascii="Times New Roman" w:eastAsia="Calibri" w:hAnsi="Times New Roman" w:cs="Times New Roman"/>
          <w:sz w:val="24"/>
          <w:szCs w:val="24"/>
        </w:rPr>
        <w:t>24.02.2020,</w:t>
      </w:r>
      <w:r w:rsidR="007465E0" w:rsidRPr="00E97E0B">
        <w:rPr>
          <w:rFonts w:ascii="Times New Roman" w:eastAsia="Calibri" w:hAnsi="Times New Roman" w:cs="Times New Roman"/>
          <w:sz w:val="24"/>
          <w:szCs w:val="24"/>
        </w:rPr>
        <w:t xml:space="preserve"> [Erişim: 07.06.2022] </w:t>
      </w:r>
      <w:r w:rsidR="00CC78DC" w:rsidRPr="00E97E0B">
        <w:t xml:space="preserve"> </w:t>
      </w:r>
      <w:r w:rsidR="00FA622D" w:rsidRPr="00E97E0B">
        <w:rPr>
          <w:rFonts w:ascii="Times New Roman" w:eastAsia="Calibri" w:hAnsi="Times New Roman" w:cs="Times New Roman"/>
          <w:sz w:val="24"/>
          <w:szCs w:val="24"/>
        </w:rPr>
        <w:t>https://www.jean-jaures.org/publication/les-verts-la-gauche-et-le-parti-socialiste-entre-convergences-et-malentendus/</w:t>
      </w:r>
    </w:p>
    <w:p w14:paraId="34D8EFBC" w14:textId="67C9614C" w:rsidR="00FA622D" w:rsidRPr="00E97E0B" w:rsidRDefault="00FA622D"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 xml:space="preserve">Robert, Lane. </w:t>
      </w:r>
      <w:r w:rsidRPr="00E97E0B">
        <w:rPr>
          <w:rFonts w:ascii="Times New Roman" w:eastAsia="Calibri" w:hAnsi="Times New Roman" w:cs="Times New Roman"/>
          <w:i/>
          <w:iCs/>
          <w:sz w:val="24"/>
          <w:szCs w:val="24"/>
        </w:rPr>
        <w:t>Political Ideology: Why the American Common Man Believes What He Does</w:t>
      </w:r>
      <w:r w:rsidRPr="00E97E0B">
        <w:rPr>
          <w:rFonts w:ascii="Times New Roman" w:eastAsia="Calibri" w:hAnsi="Times New Roman" w:cs="Times New Roman"/>
          <w:sz w:val="24"/>
          <w:szCs w:val="24"/>
        </w:rPr>
        <w:t>. Free Press, New York: 1962.</w:t>
      </w:r>
    </w:p>
    <w:p w14:paraId="1DBBDC63" w14:textId="25E276E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Roskin</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Michael</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Countries and Concepts: Politics, Geography, Culture</w:t>
      </w:r>
      <w:r w:rsidRPr="00E97E0B">
        <w:rPr>
          <w:rFonts w:ascii="Times New Roman" w:eastAsia="Calibri" w:hAnsi="Times New Roman" w:cs="Times New Roman"/>
          <w:sz w:val="24"/>
          <w:szCs w:val="24"/>
        </w:rPr>
        <w:t xml:space="preserve">, </w:t>
      </w:r>
      <w:r w:rsidR="00F42D2E" w:rsidRPr="00E97E0B">
        <w:rPr>
          <w:rFonts w:ascii="Times New Roman" w:eastAsia="Calibri" w:hAnsi="Times New Roman" w:cs="Times New Roman"/>
          <w:sz w:val="24"/>
          <w:szCs w:val="24"/>
        </w:rPr>
        <w:t xml:space="preserve">UK: </w:t>
      </w:r>
      <w:r w:rsidRPr="00E97E0B">
        <w:rPr>
          <w:rFonts w:ascii="Times New Roman" w:eastAsia="Calibri" w:hAnsi="Times New Roman" w:cs="Times New Roman"/>
          <w:sz w:val="24"/>
          <w:szCs w:val="24"/>
        </w:rPr>
        <w:t>Pearson</w:t>
      </w:r>
      <w:r w:rsidR="00F42D2E" w:rsidRPr="00E97E0B">
        <w:rPr>
          <w:rFonts w:ascii="Times New Roman" w:eastAsia="Calibri" w:hAnsi="Times New Roman" w:cs="Times New Roman"/>
          <w:sz w:val="24"/>
          <w:szCs w:val="24"/>
        </w:rPr>
        <w:t xml:space="preserve"> Education</w:t>
      </w:r>
      <w:r w:rsidRPr="00E97E0B">
        <w:rPr>
          <w:rFonts w:ascii="Times New Roman" w:eastAsia="Calibri" w:hAnsi="Times New Roman" w:cs="Times New Roman"/>
          <w:sz w:val="24"/>
          <w:szCs w:val="24"/>
        </w:rPr>
        <w:t>, 2015.</w:t>
      </w:r>
    </w:p>
    <w:p w14:paraId="4B028BEB" w14:textId="2054D053"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Rumelili</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Bahar</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“Kimlik</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i/>
          <w:iCs/>
          <w:sz w:val="24"/>
          <w:szCs w:val="24"/>
        </w:rPr>
        <w:t xml:space="preserve"> Uluslararası İlişkilere Giriş: Tarih Teori, Kavram ve Konular</w:t>
      </w:r>
      <w:r w:rsidRPr="00E97E0B">
        <w:rPr>
          <w:rFonts w:ascii="Times New Roman" w:eastAsia="Calibri" w:hAnsi="Times New Roman" w:cs="Times New Roman"/>
          <w:sz w:val="24"/>
          <w:szCs w:val="24"/>
        </w:rPr>
        <w:t xml:space="preserve"> içinde, Eds. Şaban Kardaş ve Ali Balcı, Küre Yayınları, İstanbul: Küre Yayınları, 2014.</w:t>
      </w:r>
    </w:p>
    <w:p w14:paraId="70C8B81F" w14:textId="44C55F49" w:rsidR="00E81171" w:rsidRPr="00E97E0B" w:rsidRDefault="00E81171"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Sabah. “Başbakan'ın 2005'te Diyarbakır'daki konuşması.” 17.12.2009. [Erişim 26.06.2022]. https://www.sabah.com.tr/siyaset/2009/12/17/basbakanin_2005te_diyarbakirdaki_konusmasi </w:t>
      </w:r>
    </w:p>
    <w:p w14:paraId="2E8ACBA3" w14:textId="6A83296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Sambur</w:t>
      </w:r>
      <w:r w:rsidR="00045E3B"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Bilal</w:t>
      </w:r>
      <w:r w:rsidR="00045E3B"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Özgürlük ve İnsan Hakları Açısından Alevîlik Problemi</w:t>
      </w:r>
      <w:r w:rsidR="00D53D3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Liberal Düşünce</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14, S. 55, Yaz 2009.</w:t>
      </w:r>
    </w:p>
    <w:p w14:paraId="1DB309A7" w14:textId="67C6E751" w:rsidR="002858AE" w:rsidRPr="00E97E0B" w:rsidRDefault="002858AE" w:rsidP="002858AE">
      <w:pPr>
        <w:spacing w:after="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Sandal Önal</w:t>
      </w:r>
      <w:r w:rsidR="00045E3B"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Elif</w:t>
      </w:r>
      <w:r w:rsidR="00150BDE"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00150BDE"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Dimensions of othering: Boundaries, group narratives, and the impact on political diversity</w:t>
      </w:r>
      <w:r w:rsidR="00150BDE"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00150BDE" w:rsidRPr="00E97E0B">
        <w:rPr>
          <w:rFonts w:ascii="Times New Roman" w:eastAsia="Calibri" w:hAnsi="Times New Roman" w:cs="Times New Roman"/>
          <w:sz w:val="24"/>
          <w:szCs w:val="24"/>
          <w:lang w:val="en-US"/>
        </w:rPr>
        <w:t xml:space="preserve">Doktora Tezi, </w:t>
      </w:r>
      <w:r w:rsidRPr="00E97E0B">
        <w:rPr>
          <w:rFonts w:ascii="Times New Roman" w:eastAsia="Calibri" w:hAnsi="Times New Roman" w:cs="Times New Roman"/>
          <w:sz w:val="24"/>
          <w:szCs w:val="24"/>
          <w:lang w:val="en-US"/>
        </w:rPr>
        <w:t>İstanbul Bilgi Üniversitesi, Lisansüstü Programlar Enstitüsü, İstanbul 2021.</w:t>
      </w:r>
    </w:p>
    <w:p w14:paraId="54A4F5C0" w14:textId="77777777" w:rsidR="004B234C" w:rsidRPr="00E97E0B" w:rsidRDefault="004B234C" w:rsidP="002858AE">
      <w:pPr>
        <w:spacing w:after="0" w:line="240" w:lineRule="auto"/>
        <w:jc w:val="both"/>
        <w:rPr>
          <w:rFonts w:ascii="Times New Roman" w:eastAsia="Calibri" w:hAnsi="Times New Roman" w:cs="Times New Roman"/>
          <w:sz w:val="24"/>
          <w:szCs w:val="24"/>
        </w:rPr>
      </w:pPr>
    </w:p>
    <w:p w14:paraId="448F496D" w14:textId="529012B0" w:rsidR="004B234C" w:rsidRPr="00E97E0B" w:rsidRDefault="002858AE" w:rsidP="004B234C">
      <w:pPr>
        <w:spacing w:after="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Schaerer</w:t>
      </w:r>
      <w:r w:rsidR="00E214B6"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René</w:t>
      </w:r>
      <w:r w:rsidR="00E214B6"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“Le mécanisme de l’ironie dans ses rapports avec la dialectique</w:t>
      </w:r>
      <w:r w:rsidR="004B234C" w:rsidRPr="00E97E0B">
        <w:rPr>
          <w:rFonts w:ascii="Times New Roman" w:eastAsia="Calibri" w:hAnsi="Times New Roman" w:cs="Times New Roman"/>
          <w:sz w:val="24"/>
          <w:szCs w:val="24"/>
          <w:lang w:val="en-US"/>
        </w:rPr>
        <w:t>.</w:t>
      </w:r>
      <w:r w:rsidR="006617F6"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Revue de Métaphysique et de Morale</w:t>
      </w:r>
      <w:r w:rsidRPr="00E97E0B">
        <w:rPr>
          <w:rFonts w:ascii="Times New Roman" w:eastAsia="Calibri" w:hAnsi="Times New Roman" w:cs="Times New Roman"/>
          <w:sz w:val="24"/>
          <w:szCs w:val="24"/>
          <w:lang w:val="en-US"/>
        </w:rPr>
        <w:t xml:space="preserve">, </w:t>
      </w:r>
      <w:r w:rsidR="0039090E" w:rsidRPr="00E97E0B">
        <w:rPr>
          <w:rFonts w:ascii="Times New Roman" w:eastAsia="Calibri" w:hAnsi="Times New Roman" w:cs="Times New Roman"/>
          <w:sz w:val="24"/>
          <w:szCs w:val="24"/>
          <w:lang w:val="en-US"/>
        </w:rPr>
        <w:t>C</w:t>
      </w:r>
      <w:r w:rsidRPr="00E97E0B">
        <w:rPr>
          <w:rFonts w:ascii="Times New Roman" w:eastAsia="Calibri" w:hAnsi="Times New Roman" w:cs="Times New Roman"/>
          <w:sz w:val="24"/>
          <w:szCs w:val="24"/>
          <w:lang w:val="en-US"/>
        </w:rPr>
        <w:t>. 48, S. 3, Juillet, 1941</w:t>
      </w:r>
      <w:r w:rsidR="004B234C" w:rsidRPr="00E97E0B">
        <w:rPr>
          <w:rFonts w:ascii="Times New Roman" w:eastAsia="Calibri" w:hAnsi="Times New Roman" w:cs="Times New Roman"/>
          <w:sz w:val="24"/>
          <w:szCs w:val="24"/>
          <w:lang w:val="en-US"/>
        </w:rPr>
        <w:t>.</w:t>
      </w:r>
    </w:p>
    <w:p w14:paraId="12B88C03" w14:textId="4A78B335" w:rsidR="005443D8" w:rsidRPr="00E97E0B" w:rsidRDefault="005443D8"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Service Publique. “Annulation, retrait ou déchéance de nationalité française.” [Erişim 23.02.2022]. https://www.service-public.fr/particuliers/vosdroits/F32827  </w:t>
      </w:r>
    </w:p>
    <w:p w14:paraId="0B4053AF" w14:textId="0E9EC3CB"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91" w:name="_Hlk136298811"/>
      <w:r w:rsidRPr="00E97E0B">
        <w:rPr>
          <w:rFonts w:ascii="Times New Roman" w:eastAsia="Calibri" w:hAnsi="Times New Roman" w:cs="Times New Roman"/>
          <w:sz w:val="24"/>
          <w:szCs w:val="24"/>
          <w:lang w:val="en-US"/>
        </w:rPr>
        <w:t>Shindeldecker</w:t>
      </w:r>
      <w:r w:rsidR="00E214B6"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John</w:t>
      </w:r>
      <w:r w:rsidR="00E214B6"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“Turkish Alevis Today</w:t>
      </w:r>
      <w:r w:rsidR="00F22E45" w:rsidRPr="00E97E0B">
        <w:rPr>
          <w:rFonts w:ascii="Times New Roman" w:eastAsia="Calibri" w:hAnsi="Times New Roman" w:cs="Times New Roman"/>
          <w:sz w:val="24"/>
          <w:szCs w:val="24"/>
          <w:lang w:val="en-US"/>
        </w:rPr>
        <w:t>.</w:t>
      </w:r>
      <w:r w:rsidR="006617F6" w:rsidRPr="00E97E0B">
        <w:rPr>
          <w:rFonts w:ascii="Times New Roman" w:eastAsia="Calibri" w:hAnsi="Times New Roman" w:cs="Times New Roman"/>
          <w:sz w:val="24"/>
          <w:szCs w:val="24"/>
          <w:lang w:val="en-US"/>
        </w:rPr>
        <w:t>”</w:t>
      </w:r>
      <w:r w:rsidR="00F22E45" w:rsidRPr="00E97E0B">
        <w:rPr>
          <w:rFonts w:ascii="Times New Roman" w:eastAsia="Calibri" w:hAnsi="Times New Roman" w:cs="Times New Roman"/>
          <w:sz w:val="24"/>
          <w:szCs w:val="24"/>
          <w:lang w:val="en-US"/>
        </w:rPr>
        <w:t xml:space="preserve"> alevibektasi.org.</w:t>
      </w:r>
      <w:r w:rsidR="00941F66" w:rsidRPr="00E97E0B">
        <w:rPr>
          <w:rFonts w:ascii="Times New Roman" w:eastAsia="Calibri" w:hAnsi="Times New Roman" w:cs="Times New Roman"/>
          <w:sz w:val="24"/>
          <w:szCs w:val="24"/>
          <w:lang w:val="en-US"/>
        </w:rPr>
        <w:t xml:space="preserve"> [Erişim: 14.11.2023]</w:t>
      </w:r>
      <w:r w:rsidRPr="00E97E0B">
        <w:rPr>
          <w:rFonts w:ascii="Times New Roman" w:eastAsia="Calibri" w:hAnsi="Times New Roman" w:cs="Times New Roman"/>
          <w:sz w:val="24"/>
          <w:szCs w:val="24"/>
          <w:lang w:val="en-US"/>
        </w:rPr>
        <w:t xml:space="preserve"> https://www.alevibektasi.eu/index.php?option=com_content&amp;view=article&amp;id=684:turkish-alevis-today&amp;catid=46:aratrmalar-ingilizce&amp;Itemid=69</w:t>
      </w:r>
      <w:r w:rsidR="00941F66"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bookmarkEnd w:id="291"/>
    </w:p>
    <w:p w14:paraId="3DD723B6" w14:textId="2131AA68"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Schlegel</w:t>
      </w:r>
      <w:r w:rsidR="00E214B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Jean-Louis</w:t>
      </w:r>
      <w:r w:rsidR="00E214B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“Pourquoi le Front National?</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Editions Esprit</w:t>
      </w:r>
      <w:r w:rsidRPr="00E97E0B">
        <w:rPr>
          <w:rFonts w:ascii="Times New Roman" w:eastAsia="Calibri" w:hAnsi="Times New Roman" w:cs="Times New Roman"/>
          <w:sz w:val="24"/>
          <w:szCs w:val="24"/>
        </w:rPr>
        <w:t xml:space="preserve"> </w:t>
      </w:r>
      <w:r w:rsidR="003170A9"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2, S.422 Février 2016.</w:t>
      </w:r>
    </w:p>
    <w:p w14:paraId="0181CD5F" w14:textId="5F2558F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Schmitt</w:t>
      </w:r>
      <w:r w:rsidR="00E214B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Carl</w:t>
      </w:r>
      <w:r w:rsidR="00E214B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Siyasal Kavramı</w:t>
      </w:r>
      <w:r w:rsidR="004479C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İstanbul: Metis Yayınları, 2012.</w:t>
      </w:r>
    </w:p>
    <w:p w14:paraId="6BB0573A" w14:textId="19D97AF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Schwartz</w:t>
      </w:r>
      <w:r w:rsidR="00FC571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Seth J., </w:t>
      </w:r>
      <w:r w:rsidR="00E132BD" w:rsidRPr="00E97E0B">
        <w:rPr>
          <w:rFonts w:ascii="Times New Roman" w:eastAsia="Calibri" w:hAnsi="Times New Roman" w:cs="Times New Roman"/>
          <w:sz w:val="24"/>
          <w:szCs w:val="24"/>
        </w:rPr>
        <w:t xml:space="preserve">Koen </w:t>
      </w:r>
      <w:r w:rsidRPr="00E97E0B">
        <w:rPr>
          <w:rFonts w:ascii="Times New Roman" w:eastAsia="Calibri" w:hAnsi="Times New Roman" w:cs="Times New Roman"/>
          <w:sz w:val="24"/>
          <w:szCs w:val="24"/>
        </w:rPr>
        <w:t xml:space="preserve">Luyckx ve Vivian L. </w:t>
      </w:r>
      <w:r w:rsidR="00E132BD" w:rsidRPr="00E97E0B">
        <w:rPr>
          <w:rFonts w:ascii="Times New Roman" w:eastAsia="Calibri" w:hAnsi="Times New Roman" w:cs="Times New Roman"/>
          <w:sz w:val="24"/>
          <w:szCs w:val="24"/>
        </w:rPr>
        <w:t xml:space="preserve">Vignoles </w:t>
      </w:r>
      <w:r w:rsidRPr="00E97E0B">
        <w:rPr>
          <w:rFonts w:ascii="Times New Roman" w:eastAsia="Calibri" w:hAnsi="Times New Roman" w:cs="Times New Roman"/>
          <w:sz w:val="24"/>
          <w:szCs w:val="24"/>
        </w:rPr>
        <w:t xml:space="preserve">Eds. </w:t>
      </w:r>
      <w:r w:rsidRPr="00E97E0B">
        <w:rPr>
          <w:rFonts w:ascii="Times New Roman" w:eastAsia="Calibri" w:hAnsi="Times New Roman" w:cs="Times New Roman"/>
          <w:i/>
          <w:iCs/>
          <w:sz w:val="24"/>
          <w:szCs w:val="24"/>
        </w:rPr>
        <w:t>Handbook of Identity Theory and Research</w:t>
      </w:r>
      <w:r w:rsidR="00FC571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London: Springer Science and Business Media, 2011.</w:t>
      </w:r>
    </w:p>
    <w:p w14:paraId="4F6CC80B" w14:textId="2212CBD9" w:rsidR="002858AE" w:rsidRPr="00E97E0B" w:rsidRDefault="002858AE" w:rsidP="002858AE">
      <w:pPr>
        <w:spacing w:after="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Shields J. G.</w:t>
      </w:r>
      <w:r w:rsidR="0039090E"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“The Sarkozy Effect: France's New Presidential Dynamic,” </w:t>
      </w:r>
      <w:r w:rsidRPr="00E97E0B">
        <w:rPr>
          <w:rFonts w:ascii="Times New Roman" w:eastAsia="Calibri" w:hAnsi="Times New Roman" w:cs="Times New Roman"/>
          <w:i/>
          <w:iCs/>
          <w:sz w:val="24"/>
          <w:szCs w:val="24"/>
          <w:lang w:val="en-US"/>
        </w:rPr>
        <w:t>Georgetown Journal of International Affairs</w:t>
      </w:r>
      <w:r w:rsidRPr="00E97E0B">
        <w:rPr>
          <w:rFonts w:ascii="Times New Roman" w:eastAsia="Calibri" w:hAnsi="Times New Roman" w:cs="Times New Roman"/>
          <w:sz w:val="24"/>
          <w:szCs w:val="24"/>
          <w:lang w:val="en-US"/>
        </w:rPr>
        <w:t>, C. 9, S.1, Winter/Spring 2008</w:t>
      </w:r>
    </w:p>
    <w:p w14:paraId="3E2F549C" w14:textId="77777777" w:rsidR="00E81171" w:rsidRPr="00E97E0B" w:rsidRDefault="00E81171"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Silo.tips. “Başbakan Erdoğan’ın Adana İl Kongresi Konuşmasının Tam Metni.” 7.05.2012. [Erişim: 28.06.2022]. https://silo.tips/download/babakan-erdoan-n-adana-l-kongresi-konumasnn-tam-metni </w:t>
      </w:r>
    </w:p>
    <w:p w14:paraId="1B433C71" w14:textId="194E6BC6"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Sözen</w:t>
      </w:r>
      <w:r w:rsidR="005D656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Edibe</w:t>
      </w:r>
      <w:r w:rsidR="005D656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sz w:val="24"/>
          <w:szCs w:val="24"/>
        </w:rPr>
        <w:t>Söylem; Belirsizlik, Mübadele, Bilgi/Güç ve Refleksivite</w:t>
      </w:r>
      <w:r w:rsidR="005D656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F42D2E" w:rsidRPr="00E97E0B">
        <w:rPr>
          <w:rFonts w:ascii="Times New Roman" w:eastAsia="Calibri" w:hAnsi="Times New Roman" w:cs="Times New Roman"/>
          <w:sz w:val="24"/>
          <w:szCs w:val="24"/>
        </w:rPr>
        <w:t>İstanbul: Profil Kitap</w:t>
      </w:r>
      <w:r w:rsidRPr="00E97E0B">
        <w:rPr>
          <w:rFonts w:ascii="Times New Roman" w:eastAsia="Calibri" w:hAnsi="Times New Roman" w:cs="Times New Roman"/>
          <w:sz w:val="24"/>
          <w:szCs w:val="24"/>
        </w:rPr>
        <w:t xml:space="preserve">, 2017. </w:t>
      </w:r>
    </w:p>
    <w:p w14:paraId="6EA9E5F0" w14:textId="365E2FB8" w:rsidR="00FB2F2D"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92" w:name="_Hlk136298522"/>
      <w:r w:rsidRPr="00E97E0B">
        <w:rPr>
          <w:rFonts w:ascii="Times New Roman" w:eastAsia="Calibri" w:hAnsi="Times New Roman" w:cs="Times New Roman"/>
          <w:sz w:val="24"/>
          <w:szCs w:val="24"/>
          <w:lang w:val="en-US"/>
        </w:rPr>
        <w:lastRenderedPageBreak/>
        <w:t>Statista, Répartition de la population selon la religion en France en 2020, https://fr.statista.com/statistiques/472017/population-religion-france/ [Erişim 10.08.2022]</w:t>
      </w:r>
      <w:bookmarkEnd w:id="292"/>
    </w:p>
    <w:p w14:paraId="3A4459A2" w14:textId="36A61E14" w:rsidR="00073C6C" w:rsidRPr="00E97E0B" w:rsidRDefault="00073C6C" w:rsidP="002858AE">
      <w:pPr>
        <w:spacing w:before="240" w:after="24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lang w:val="en-US"/>
        </w:rPr>
        <w:t xml:space="preserve">Stepan, Alfred. “Comparative Theory and Political Practice: Do We Need a ‘State-Nation’ Model as Well as a ‘Nation-State’ Model?” </w:t>
      </w:r>
      <w:r w:rsidRPr="00E97E0B">
        <w:rPr>
          <w:rFonts w:ascii="Times New Roman" w:eastAsia="Calibri" w:hAnsi="Times New Roman" w:cs="Times New Roman"/>
          <w:i/>
          <w:iCs/>
          <w:sz w:val="24"/>
          <w:szCs w:val="24"/>
          <w:lang w:val="en-US"/>
        </w:rPr>
        <w:t>Government and Opposition</w:t>
      </w:r>
      <w:r w:rsidR="00DB5C74" w:rsidRPr="00E97E0B">
        <w:rPr>
          <w:rFonts w:ascii="Times New Roman" w:eastAsia="Calibri" w:hAnsi="Times New Roman" w:cs="Times New Roman"/>
          <w:i/>
          <w:iCs/>
          <w:sz w:val="24"/>
          <w:szCs w:val="24"/>
          <w:lang w:val="en-US"/>
        </w:rPr>
        <w:t>,</w:t>
      </w:r>
      <w:r w:rsidRPr="00E97E0B">
        <w:rPr>
          <w:rFonts w:ascii="Times New Roman" w:eastAsia="Calibri" w:hAnsi="Times New Roman" w:cs="Times New Roman"/>
          <w:sz w:val="24"/>
          <w:szCs w:val="24"/>
          <w:lang w:val="en-US"/>
        </w:rPr>
        <w:t xml:space="preserve"> </w:t>
      </w:r>
      <w:r w:rsidR="00DB5C74" w:rsidRPr="00E97E0B">
        <w:rPr>
          <w:rFonts w:ascii="Times New Roman" w:eastAsia="Calibri" w:hAnsi="Times New Roman" w:cs="Times New Roman"/>
          <w:sz w:val="24"/>
          <w:szCs w:val="24"/>
          <w:lang w:val="en-US"/>
        </w:rPr>
        <w:t xml:space="preserve">C. </w:t>
      </w:r>
      <w:r w:rsidRPr="00E97E0B">
        <w:rPr>
          <w:rFonts w:ascii="Times New Roman" w:eastAsia="Calibri" w:hAnsi="Times New Roman" w:cs="Times New Roman"/>
          <w:sz w:val="24"/>
          <w:szCs w:val="24"/>
          <w:lang w:val="en-US"/>
        </w:rPr>
        <w:t xml:space="preserve">43, </w:t>
      </w:r>
      <w:r w:rsidR="00DB5C74" w:rsidRPr="00E97E0B">
        <w:rPr>
          <w:rFonts w:ascii="Times New Roman" w:eastAsia="Calibri" w:hAnsi="Times New Roman" w:cs="Times New Roman"/>
          <w:sz w:val="24"/>
          <w:szCs w:val="24"/>
          <w:lang w:val="en-US"/>
        </w:rPr>
        <w:t>S</w:t>
      </w:r>
      <w:r w:rsidRPr="00E97E0B">
        <w:rPr>
          <w:rFonts w:ascii="Times New Roman" w:eastAsia="Calibri" w:hAnsi="Times New Roman" w:cs="Times New Roman"/>
          <w:sz w:val="24"/>
          <w:szCs w:val="24"/>
          <w:lang w:val="en-US"/>
        </w:rPr>
        <w:t>. 1 (2008): 1–25. http://www.jstor.org/stable/44484119</w:t>
      </w:r>
    </w:p>
    <w:p w14:paraId="3DF85A8B" w14:textId="7FA6BA41"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Subaşı</w:t>
      </w:r>
      <w:r w:rsidR="00A774D4"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Necdet. “The Alevi Opening: Concept, Strategy and Process”</w:t>
      </w:r>
      <w:r w:rsidRPr="00E97E0B">
        <w:rPr>
          <w:rFonts w:ascii="Times New Roman" w:eastAsia="Calibri" w:hAnsi="Times New Roman" w:cs="Times New Roman"/>
          <w:i/>
          <w:iCs/>
          <w:sz w:val="24"/>
          <w:szCs w:val="24"/>
        </w:rPr>
        <w:t xml:space="preserve"> Insight Turkey</w:t>
      </w:r>
      <w:r w:rsidRPr="00E97E0B">
        <w:rPr>
          <w:rFonts w:ascii="Times New Roman" w:eastAsia="Calibri" w:hAnsi="Times New Roman" w:cs="Times New Roman"/>
          <w:sz w:val="24"/>
          <w:szCs w:val="24"/>
        </w:rPr>
        <w:t xml:space="preserve">, </w:t>
      </w:r>
      <w:r w:rsidR="00A774D4"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12, S. 2, 2010.</w:t>
      </w:r>
    </w:p>
    <w:p w14:paraId="6B54520E" w14:textId="34A048DC" w:rsidR="00014C85" w:rsidRPr="00E97E0B" w:rsidRDefault="00014C85" w:rsidP="00014C85">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Şah, Umut. </w:t>
      </w:r>
      <w:r w:rsidR="00324F8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Eleştirel Söylem Analizi: Temel Yaklaşımlar</w:t>
      </w:r>
      <w:r w:rsidR="00324F8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 7, </w:t>
      </w:r>
      <w:r w:rsidRPr="00E97E0B">
        <w:rPr>
          <w:rFonts w:ascii="Times New Roman" w:eastAsia="Calibri" w:hAnsi="Times New Roman" w:cs="Times New Roman"/>
          <w:i/>
          <w:iCs/>
          <w:sz w:val="24"/>
          <w:szCs w:val="24"/>
        </w:rPr>
        <w:t>Kültür Araştırmaları Dergisi</w:t>
      </w:r>
      <w:r w:rsidRPr="00E97E0B">
        <w:rPr>
          <w:rFonts w:ascii="Times New Roman" w:eastAsia="Calibri" w:hAnsi="Times New Roman" w:cs="Times New Roman"/>
          <w:sz w:val="24"/>
          <w:szCs w:val="24"/>
        </w:rPr>
        <w:t xml:space="preserve">, 2020.  </w:t>
      </w:r>
    </w:p>
    <w:p w14:paraId="3FBB4E52" w14:textId="698D0515" w:rsidR="00014C85" w:rsidRPr="00E97E0B" w:rsidRDefault="00014C85"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Şahin, Yasin</w:t>
      </w:r>
      <w:r w:rsidRPr="00E97E0B">
        <w:rPr>
          <w:rFonts w:ascii="Times New Roman" w:eastAsia="Calibri" w:hAnsi="Times New Roman" w:cs="Times New Roman"/>
          <w:i/>
          <w:iCs/>
          <w:sz w:val="24"/>
          <w:szCs w:val="24"/>
        </w:rPr>
        <w:t>. “</w:t>
      </w:r>
      <w:r w:rsidRPr="00E97E0B">
        <w:rPr>
          <w:rFonts w:ascii="Times New Roman" w:eastAsia="Calibri" w:hAnsi="Times New Roman" w:cs="Times New Roman"/>
          <w:sz w:val="24"/>
          <w:szCs w:val="24"/>
        </w:rPr>
        <w:t>Michel Faoucault’da Söylem Analizi</w:t>
      </w:r>
      <w:r w:rsidR="00BB3FF0"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w:t>
      </w:r>
      <w:r w:rsidRPr="00E97E0B">
        <w:rPr>
          <w:rFonts w:ascii="Times New Roman" w:eastAsia="Calibri" w:hAnsi="Times New Roman" w:cs="Times New Roman"/>
          <w:i/>
          <w:iCs/>
          <w:sz w:val="24"/>
          <w:szCs w:val="24"/>
        </w:rPr>
        <w:t xml:space="preserve"> Sosyal ve Kültürel Araştırmalar Dergisi (SKAD),</w:t>
      </w:r>
      <w:r w:rsidRPr="00E97E0B">
        <w:rPr>
          <w:rFonts w:ascii="Times New Roman" w:eastAsia="Calibri" w:hAnsi="Times New Roman" w:cs="Times New Roman"/>
          <w:sz w:val="24"/>
          <w:szCs w:val="24"/>
        </w:rPr>
        <w:t xml:space="preserve"> C. 3. S. 6, 2017.</w:t>
      </w:r>
    </w:p>
    <w:p w14:paraId="7BB648E1" w14:textId="188CEE5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Taylor</w:t>
      </w:r>
      <w:r w:rsidR="008674B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Stephanie. “Evaluating and Applying Discourse Analytic Research</w:t>
      </w:r>
      <w:r w:rsidR="00CC3727"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sz w:val="24"/>
          <w:szCs w:val="24"/>
        </w:rPr>
        <w:t>Discourse as Data: A Guide for Analysis</w:t>
      </w:r>
      <w:r w:rsidRPr="00E97E0B">
        <w:rPr>
          <w:rFonts w:ascii="Times New Roman" w:eastAsia="Calibri" w:hAnsi="Times New Roman" w:cs="Times New Roman"/>
          <w:sz w:val="24"/>
          <w:szCs w:val="24"/>
        </w:rPr>
        <w:t xml:space="preserve"> içinde, Eds. M. Wetherell, S. Taylor ve S. Yates, London: Sage Publication, 2001.</w:t>
      </w:r>
    </w:p>
    <w:p w14:paraId="560ECD5E" w14:textId="03F94D3F" w:rsidR="00B21514" w:rsidRPr="00E97E0B" w:rsidRDefault="00B21514"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TBMM</w:t>
      </w:r>
      <w:r w:rsidR="00270D4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Türkiye Büyük Millet Meclisi Genel Kurul Tutanağı</w:t>
      </w:r>
      <w:r w:rsidR="00A04079"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23. Dönem 5. Yasama Yılı 42. Birleşim, 26 Aralık 2010</w:t>
      </w:r>
      <w:r w:rsidR="001A4A5E"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https://www.tbmm.gov.tr/Tutanaklar/Tutanak?BirlesimSiraNo=20821&amp;BaslangicSayfa=64&amp;BitisSayfa=64&amp;Tur=B  [Erişim: 28.06.2022].</w:t>
      </w:r>
    </w:p>
    <w:p w14:paraId="7916948A" w14:textId="1DB85B21" w:rsidR="00933A04" w:rsidRPr="00E97E0B" w:rsidRDefault="00933A04"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T.C. Cumhurbaşkanlığı. “Ak Parti TBMM Grup Toplantısı, Ankara, 1 Aralık 2009.” </w:t>
      </w:r>
      <w:r w:rsidRPr="00E97E0B">
        <w:rPr>
          <w:rFonts w:ascii="Times New Roman" w:eastAsia="Calibri" w:hAnsi="Times New Roman" w:cs="Times New Roman"/>
          <w:i/>
          <w:iCs/>
          <w:sz w:val="24"/>
          <w:szCs w:val="24"/>
        </w:rPr>
        <w:t>Beraber Yürüdük Biz Bu Yollarda-6</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Yeni Türkiye Vizyonu</w:t>
      </w:r>
      <w:r w:rsidRPr="00E97E0B">
        <w:rPr>
          <w:rFonts w:ascii="Times New Roman" w:eastAsia="Calibri" w:hAnsi="Times New Roman" w:cs="Times New Roman"/>
          <w:sz w:val="24"/>
          <w:szCs w:val="24"/>
        </w:rPr>
        <w:t xml:space="preserve"> içinde</w:t>
      </w:r>
      <w:r w:rsidRPr="00E97E0B">
        <w:rPr>
          <w:rFonts w:ascii="Times New Roman" w:eastAsia="Calibri" w:hAnsi="Times New Roman" w:cs="Times New Roman"/>
          <w:sz w:val="24"/>
          <w:szCs w:val="24"/>
          <w:lang w:val="en-US"/>
        </w:rPr>
        <w:t xml:space="preserve"> Cumhurbaşkanlığı Yayınları,</w:t>
      </w:r>
      <w:r w:rsidRPr="00E97E0B">
        <w:rPr>
          <w:rFonts w:ascii="Times New Roman" w:eastAsia="Calibri" w:hAnsi="Times New Roman" w:cs="Times New Roman"/>
          <w:sz w:val="24"/>
          <w:szCs w:val="24"/>
        </w:rPr>
        <w:t xml:space="preserve"> 2019.</w:t>
      </w:r>
    </w:p>
    <w:p w14:paraId="0EC08146" w14:textId="38B01C08" w:rsidR="00933A04" w:rsidRPr="00E97E0B" w:rsidRDefault="000802E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___________</w:t>
      </w:r>
      <w:r w:rsidR="00933A04" w:rsidRPr="00E97E0B">
        <w:rPr>
          <w:rFonts w:ascii="Times New Roman" w:eastAsia="Calibri" w:hAnsi="Times New Roman" w:cs="Times New Roman"/>
          <w:sz w:val="24"/>
          <w:szCs w:val="24"/>
        </w:rPr>
        <w:t>. “AK Parti TBMM Grup Toplantısı, Ankara, 1 Temmuz 2008.”</w:t>
      </w:r>
      <w:r w:rsidR="00933A04" w:rsidRPr="00E97E0B">
        <w:rPr>
          <w:rFonts w:ascii="Times New Roman" w:eastAsia="Calibri" w:hAnsi="Times New Roman" w:cs="Times New Roman"/>
          <w:sz w:val="24"/>
          <w:szCs w:val="24"/>
          <w:lang w:val="en-US"/>
        </w:rPr>
        <w:t xml:space="preserve"> </w:t>
      </w:r>
      <w:r w:rsidR="00933A04" w:rsidRPr="00E97E0B">
        <w:rPr>
          <w:rFonts w:ascii="Times New Roman" w:eastAsia="Calibri" w:hAnsi="Times New Roman" w:cs="Times New Roman"/>
          <w:i/>
          <w:iCs/>
          <w:sz w:val="24"/>
          <w:szCs w:val="24"/>
        </w:rPr>
        <w:t>Beraber Yürüdük Biz Bu Yollarda-5</w:t>
      </w:r>
      <w:r w:rsidR="00933A04" w:rsidRPr="00E97E0B">
        <w:rPr>
          <w:rFonts w:ascii="Times New Roman" w:eastAsia="Calibri" w:hAnsi="Times New Roman" w:cs="Times New Roman"/>
          <w:sz w:val="24"/>
          <w:szCs w:val="24"/>
        </w:rPr>
        <w:t xml:space="preserve">. </w:t>
      </w:r>
      <w:r w:rsidR="00933A04" w:rsidRPr="00E97E0B">
        <w:rPr>
          <w:rFonts w:ascii="Times New Roman" w:eastAsia="Calibri" w:hAnsi="Times New Roman" w:cs="Times New Roman"/>
          <w:i/>
          <w:iCs/>
          <w:sz w:val="24"/>
          <w:szCs w:val="24"/>
        </w:rPr>
        <w:t xml:space="preserve">Yeni Türkiye Vizyonu </w:t>
      </w:r>
      <w:r w:rsidR="00933A04" w:rsidRPr="00E97E0B">
        <w:rPr>
          <w:rFonts w:ascii="Times New Roman" w:eastAsia="Calibri" w:hAnsi="Times New Roman" w:cs="Times New Roman"/>
          <w:sz w:val="24"/>
          <w:szCs w:val="24"/>
        </w:rPr>
        <w:t xml:space="preserve">içinde </w:t>
      </w:r>
      <w:r w:rsidR="00933A04" w:rsidRPr="00E97E0B">
        <w:rPr>
          <w:rFonts w:ascii="Times New Roman" w:eastAsia="Calibri" w:hAnsi="Times New Roman" w:cs="Times New Roman"/>
          <w:sz w:val="24"/>
          <w:szCs w:val="24"/>
          <w:lang w:val="en-US"/>
        </w:rPr>
        <w:t>Cumhurbaşkanlığı Yayınları,</w:t>
      </w:r>
      <w:r w:rsidR="00933A04" w:rsidRPr="00E97E0B">
        <w:rPr>
          <w:rFonts w:ascii="Times New Roman" w:eastAsia="Calibri" w:hAnsi="Times New Roman" w:cs="Times New Roman"/>
          <w:sz w:val="24"/>
          <w:szCs w:val="24"/>
        </w:rPr>
        <w:t xml:space="preserve"> 2019.</w:t>
      </w:r>
    </w:p>
    <w:p w14:paraId="215FE8E7" w14:textId="7122FBDD" w:rsidR="0045072B" w:rsidRPr="00E97E0B" w:rsidRDefault="000802EE" w:rsidP="0045072B">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45072B" w:rsidRPr="00E97E0B">
        <w:rPr>
          <w:rFonts w:ascii="Times New Roman" w:eastAsia="Calibri" w:hAnsi="Times New Roman" w:cs="Times New Roman"/>
          <w:sz w:val="24"/>
          <w:szCs w:val="24"/>
        </w:rPr>
        <w:t>“AK Parti TBMM Grup Toplantısı,</w:t>
      </w:r>
      <w:r w:rsidR="0053662F" w:rsidRPr="00E97E0B">
        <w:rPr>
          <w:rFonts w:ascii="Times New Roman" w:eastAsia="Calibri" w:hAnsi="Times New Roman" w:cs="Times New Roman"/>
          <w:sz w:val="24"/>
          <w:szCs w:val="24"/>
        </w:rPr>
        <w:t xml:space="preserve"> Ankara,</w:t>
      </w:r>
      <w:r w:rsidR="0045072B" w:rsidRPr="00E97E0B">
        <w:rPr>
          <w:rFonts w:ascii="Times New Roman" w:eastAsia="Calibri" w:hAnsi="Times New Roman" w:cs="Times New Roman"/>
          <w:sz w:val="24"/>
          <w:szCs w:val="24"/>
        </w:rPr>
        <w:t xml:space="preserve"> 2010.” </w:t>
      </w:r>
      <w:r w:rsidR="0045072B" w:rsidRPr="00E97E0B">
        <w:rPr>
          <w:rFonts w:ascii="Times New Roman" w:eastAsia="Calibri" w:hAnsi="Times New Roman" w:cs="Times New Roman"/>
          <w:i/>
          <w:iCs/>
          <w:sz w:val="24"/>
          <w:szCs w:val="24"/>
        </w:rPr>
        <w:t>Beraber Yürüdük Biz Bu Yollarda-7</w:t>
      </w:r>
      <w:r w:rsidR="0045072B" w:rsidRPr="00E97E0B">
        <w:rPr>
          <w:rFonts w:ascii="Times New Roman" w:eastAsia="Calibri" w:hAnsi="Times New Roman" w:cs="Times New Roman"/>
          <w:sz w:val="24"/>
          <w:szCs w:val="24"/>
        </w:rPr>
        <w:t xml:space="preserve"> </w:t>
      </w:r>
      <w:r w:rsidR="0045072B" w:rsidRPr="00E97E0B">
        <w:rPr>
          <w:rFonts w:ascii="Times New Roman" w:eastAsia="Calibri" w:hAnsi="Times New Roman" w:cs="Times New Roman"/>
          <w:i/>
          <w:iCs/>
          <w:sz w:val="24"/>
          <w:szCs w:val="24"/>
        </w:rPr>
        <w:t xml:space="preserve">Yeni Türkiye Vizyonu </w:t>
      </w:r>
      <w:r w:rsidR="0045072B" w:rsidRPr="00E97E0B">
        <w:rPr>
          <w:rFonts w:ascii="Times New Roman" w:eastAsia="Calibri" w:hAnsi="Times New Roman" w:cs="Times New Roman"/>
          <w:sz w:val="24"/>
          <w:szCs w:val="24"/>
        </w:rPr>
        <w:t xml:space="preserve">içinde, </w:t>
      </w:r>
      <w:r w:rsidR="0045072B" w:rsidRPr="00E97E0B">
        <w:rPr>
          <w:rFonts w:ascii="Times New Roman" w:eastAsia="Calibri" w:hAnsi="Times New Roman" w:cs="Times New Roman"/>
          <w:sz w:val="24"/>
          <w:szCs w:val="24"/>
          <w:lang w:val="en-US"/>
        </w:rPr>
        <w:t>Cumhurbaşkanlığı Yayınları,</w:t>
      </w:r>
      <w:r w:rsidR="0045072B" w:rsidRPr="00E97E0B">
        <w:rPr>
          <w:rFonts w:ascii="Times New Roman" w:eastAsia="Calibri" w:hAnsi="Times New Roman" w:cs="Times New Roman"/>
          <w:sz w:val="24"/>
          <w:szCs w:val="24"/>
        </w:rPr>
        <w:t xml:space="preserve"> 2019. </w:t>
      </w:r>
    </w:p>
    <w:p w14:paraId="7776B0FE" w14:textId="40488417" w:rsidR="0045072B" w:rsidRPr="00E97E0B" w:rsidRDefault="000802EE" w:rsidP="0045072B">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45072B" w:rsidRPr="00E97E0B">
        <w:rPr>
          <w:rFonts w:ascii="Times New Roman" w:eastAsia="Calibri" w:hAnsi="Times New Roman" w:cs="Times New Roman"/>
          <w:sz w:val="24"/>
          <w:szCs w:val="24"/>
        </w:rPr>
        <w:t>“Ak Parti TBMM Grup Toplantısı, Ankara, Ankara, 12 Ocak 2010.”</w:t>
      </w:r>
      <w:r w:rsidR="0045072B" w:rsidRPr="00E97E0B">
        <w:rPr>
          <w:rFonts w:ascii="Times New Roman" w:eastAsia="Calibri" w:hAnsi="Times New Roman" w:cs="Times New Roman"/>
          <w:sz w:val="24"/>
          <w:szCs w:val="24"/>
          <w:lang w:val="en-US"/>
        </w:rPr>
        <w:t xml:space="preserve"> </w:t>
      </w:r>
      <w:r w:rsidR="0045072B" w:rsidRPr="00E97E0B">
        <w:rPr>
          <w:rFonts w:ascii="Times New Roman" w:eastAsia="Calibri" w:hAnsi="Times New Roman" w:cs="Times New Roman"/>
          <w:i/>
          <w:iCs/>
          <w:sz w:val="24"/>
          <w:szCs w:val="24"/>
        </w:rPr>
        <w:t>Beraber Yürüdük Biz Bu Yollarda-6</w:t>
      </w:r>
      <w:r w:rsidR="0045072B" w:rsidRPr="00E97E0B">
        <w:rPr>
          <w:rFonts w:ascii="Times New Roman" w:eastAsia="Calibri" w:hAnsi="Times New Roman" w:cs="Times New Roman"/>
          <w:sz w:val="24"/>
          <w:szCs w:val="24"/>
        </w:rPr>
        <w:t xml:space="preserve"> </w:t>
      </w:r>
      <w:r w:rsidR="0045072B" w:rsidRPr="00E97E0B">
        <w:rPr>
          <w:rFonts w:ascii="Times New Roman" w:eastAsia="Calibri" w:hAnsi="Times New Roman" w:cs="Times New Roman"/>
          <w:i/>
          <w:iCs/>
          <w:sz w:val="24"/>
          <w:szCs w:val="24"/>
        </w:rPr>
        <w:t>Yeni Türkiye Vizyonu</w:t>
      </w:r>
      <w:r w:rsidR="0045072B" w:rsidRPr="00E97E0B">
        <w:rPr>
          <w:rFonts w:ascii="Times New Roman" w:eastAsia="Calibri" w:hAnsi="Times New Roman" w:cs="Times New Roman"/>
          <w:sz w:val="24"/>
          <w:szCs w:val="24"/>
        </w:rPr>
        <w:t xml:space="preserve"> içinde</w:t>
      </w:r>
      <w:r w:rsidR="0045072B" w:rsidRPr="00E97E0B">
        <w:rPr>
          <w:rFonts w:ascii="Times New Roman" w:eastAsia="Calibri" w:hAnsi="Times New Roman" w:cs="Times New Roman"/>
          <w:sz w:val="24"/>
          <w:szCs w:val="24"/>
          <w:lang w:val="en-US"/>
        </w:rPr>
        <w:t xml:space="preserve"> Cumhurbaşkanlığı Yayınları,</w:t>
      </w:r>
      <w:r w:rsidR="0045072B" w:rsidRPr="00E97E0B">
        <w:rPr>
          <w:rFonts w:ascii="Times New Roman" w:eastAsia="Calibri" w:hAnsi="Times New Roman" w:cs="Times New Roman"/>
          <w:sz w:val="24"/>
          <w:szCs w:val="24"/>
        </w:rPr>
        <w:t xml:space="preserve"> 2019.</w:t>
      </w:r>
    </w:p>
    <w:p w14:paraId="1F7100A1" w14:textId="5683D42D" w:rsidR="0045072B" w:rsidRPr="00E97E0B" w:rsidRDefault="000802EE" w:rsidP="0045072B">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45072B" w:rsidRPr="00E97E0B">
        <w:rPr>
          <w:rFonts w:ascii="Times New Roman" w:eastAsia="Calibri" w:hAnsi="Times New Roman" w:cs="Times New Roman"/>
          <w:sz w:val="24"/>
          <w:szCs w:val="24"/>
        </w:rPr>
        <w:t xml:space="preserve">“Ak Parti TBMM Grup Toplantısı, Ankara, 26 Ocak 2010.” </w:t>
      </w:r>
      <w:r w:rsidR="0045072B" w:rsidRPr="00E97E0B">
        <w:rPr>
          <w:rFonts w:ascii="Times New Roman" w:eastAsia="Calibri" w:hAnsi="Times New Roman" w:cs="Times New Roman"/>
          <w:i/>
          <w:iCs/>
          <w:sz w:val="24"/>
          <w:szCs w:val="24"/>
        </w:rPr>
        <w:t>Beraber Yürüdük Biz Bu Yollarda-6</w:t>
      </w:r>
      <w:r w:rsidR="0045072B" w:rsidRPr="00E97E0B">
        <w:rPr>
          <w:rFonts w:ascii="Times New Roman" w:eastAsia="Calibri" w:hAnsi="Times New Roman" w:cs="Times New Roman"/>
          <w:sz w:val="24"/>
          <w:szCs w:val="24"/>
        </w:rPr>
        <w:t xml:space="preserve"> </w:t>
      </w:r>
      <w:r w:rsidR="0045072B" w:rsidRPr="00E97E0B">
        <w:rPr>
          <w:rFonts w:ascii="Times New Roman" w:eastAsia="Calibri" w:hAnsi="Times New Roman" w:cs="Times New Roman"/>
          <w:i/>
          <w:iCs/>
          <w:sz w:val="24"/>
          <w:szCs w:val="24"/>
        </w:rPr>
        <w:t>Yeni Türkiye Vizyonu</w:t>
      </w:r>
      <w:r w:rsidR="0045072B" w:rsidRPr="00E97E0B">
        <w:rPr>
          <w:rFonts w:ascii="Times New Roman" w:eastAsia="Calibri" w:hAnsi="Times New Roman" w:cs="Times New Roman"/>
          <w:sz w:val="24"/>
          <w:szCs w:val="24"/>
        </w:rPr>
        <w:t xml:space="preserve"> içinde, </w:t>
      </w:r>
      <w:r w:rsidR="0045072B" w:rsidRPr="00E97E0B">
        <w:rPr>
          <w:rFonts w:ascii="Times New Roman" w:eastAsia="Calibri" w:hAnsi="Times New Roman" w:cs="Times New Roman"/>
          <w:sz w:val="24"/>
          <w:szCs w:val="24"/>
          <w:lang w:val="en-US"/>
        </w:rPr>
        <w:t>Cumhurbaşkanlığı Yayınları,</w:t>
      </w:r>
      <w:r w:rsidR="0045072B" w:rsidRPr="00E97E0B">
        <w:rPr>
          <w:rFonts w:ascii="Times New Roman" w:eastAsia="Calibri" w:hAnsi="Times New Roman" w:cs="Times New Roman"/>
          <w:sz w:val="24"/>
          <w:szCs w:val="24"/>
        </w:rPr>
        <w:t xml:space="preserve"> 2019.</w:t>
      </w:r>
    </w:p>
    <w:p w14:paraId="1823682B" w14:textId="47C78399" w:rsidR="0045072B" w:rsidRPr="00E97E0B" w:rsidRDefault="000802E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45072B" w:rsidRPr="00E97E0B">
        <w:rPr>
          <w:rFonts w:ascii="Times New Roman" w:eastAsia="Calibri" w:hAnsi="Times New Roman" w:cs="Times New Roman"/>
          <w:sz w:val="24"/>
          <w:szCs w:val="24"/>
        </w:rPr>
        <w:t xml:space="preserve">“Ak Parti TBMM Grup Toplantısı, Ankara, 2 Şubat 2010.” </w:t>
      </w:r>
      <w:r w:rsidR="0045072B" w:rsidRPr="00E97E0B">
        <w:rPr>
          <w:rFonts w:ascii="Times New Roman" w:eastAsia="Calibri" w:hAnsi="Times New Roman" w:cs="Times New Roman"/>
          <w:i/>
          <w:iCs/>
          <w:sz w:val="24"/>
          <w:szCs w:val="24"/>
        </w:rPr>
        <w:t>Beraber Yürüdük Biz Bu Yollarda-6 Yeni Türkiye Vizyonu</w:t>
      </w:r>
      <w:r w:rsidR="0045072B" w:rsidRPr="00E97E0B">
        <w:rPr>
          <w:rFonts w:ascii="Times New Roman" w:eastAsia="Calibri" w:hAnsi="Times New Roman" w:cs="Times New Roman"/>
          <w:sz w:val="24"/>
          <w:szCs w:val="24"/>
        </w:rPr>
        <w:t xml:space="preserve"> içinde,</w:t>
      </w:r>
      <w:r w:rsidR="0045072B" w:rsidRPr="00E97E0B">
        <w:rPr>
          <w:rFonts w:ascii="Times New Roman" w:eastAsia="Calibri" w:hAnsi="Times New Roman" w:cs="Times New Roman"/>
          <w:sz w:val="24"/>
          <w:szCs w:val="24"/>
          <w:lang w:val="en-US"/>
        </w:rPr>
        <w:t xml:space="preserve"> Cumhurbaşkanlığı Yayınları,</w:t>
      </w:r>
      <w:r w:rsidR="0045072B" w:rsidRPr="00E97E0B">
        <w:rPr>
          <w:rFonts w:ascii="Times New Roman" w:eastAsia="Calibri" w:hAnsi="Times New Roman" w:cs="Times New Roman"/>
          <w:sz w:val="24"/>
          <w:szCs w:val="24"/>
        </w:rPr>
        <w:t xml:space="preserve"> 2019.</w:t>
      </w:r>
    </w:p>
    <w:p w14:paraId="13FBC77B" w14:textId="2D78AA96" w:rsidR="00F96C7E"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 xml:space="preserve">___________. </w:t>
      </w:r>
      <w:r w:rsidR="0017679C" w:rsidRPr="00E97E0B">
        <w:rPr>
          <w:rFonts w:ascii="Times New Roman" w:eastAsia="Calibri" w:hAnsi="Times New Roman" w:cs="Times New Roman"/>
          <w:sz w:val="24"/>
          <w:szCs w:val="24"/>
        </w:rPr>
        <w:t xml:space="preserve">“AK Parti TBMM Grup Toplantısı, Ankara, 26 Şubat 2013,” </w:t>
      </w:r>
      <w:r w:rsidR="00F96C7E" w:rsidRPr="00E97E0B">
        <w:rPr>
          <w:rFonts w:ascii="Times New Roman" w:eastAsia="Calibri" w:hAnsi="Times New Roman" w:cs="Times New Roman"/>
          <w:i/>
          <w:iCs/>
          <w:sz w:val="24"/>
          <w:szCs w:val="24"/>
        </w:rPr>
        <w:t>Beraber Yürüdük Biz Bu Yollarda-6</w:t>
      </w:r>
      <w:r w:rsidR="0017679C" w:rsidRPr="00E97E0B">
        <w:rPr>
          <w:rFonts w:ascii="Times New Roman" w:eastAsia="Calibri" w:hAnsi="Times New Roman" w:cs="Times New Roman"/>
          <w:i/>
          <w:iCs/>
          <w:sz w:val="24"/>
          <w:szCs w:val="24"/>
        </w:rPr>
        <w:t xml:space="preserve"> </w:t>
      </w:r>
      <w:r w:rsidR="0017679C" w:rsidRPr="00E97E0B">
        <w:rPr>
          <w:rFonts w:ascii="Times New Roman" w:eastAsia="Calibri" w:hAnsi="Times New Roman" w:cs="Times New Roman"/>
          <w:i/>
          <w:sz w:val="24"/>
          <w:szCs w:val="24"/>
        </w:rPr>
        <w:t>Yeni Türkiye Vizyonu</w:t>
      </w:r>
      <w:r w:rsidR="0017679C" w:rsidRPr="00E97E0B">
        <w:rPr>
          <w:rFonts w:ascii="Times New Roman" w:eastAsia="Calibri" w:hAnsi="Times New Roman" w:cs="Times New Roman"/>
          <w:sz w:val="24"/>
          <w:szCs w:val="24"/>
        </w:rPr>
        <w:t xml:space="preserve"> içinde</w:t>
      </w:r>
      <w:r w:rsidR="00F96C7E" w:rsidRPr="00E97E0B">
        <w:rPr>
          <w:rFonts w:ascii="Times New Roman" w:eastAsia="Calibri" w:hAnsi="Times New Roman" w:cs="Times New Roman"/>
          <w:sz w:val="24"/>
          <w:szCs w:val="24"/>
        </w:rPr>
        <w:t>,</w:t>
      </w:r>
      <w:r w:rsidR="0017679C" w:rsidRPr="00E97E0B">
        <w:rPr>
          <w:rFonts w:ascii="Times New Roman" w:eastAsia="Calibri" w:hAnsi="Times New Roman" w:cs="Times New Roman"/>
          <w:sz w:val="24"/>
          <w:szCs w:val="24"/>
          <w:lang w:val="en-US"/>
        </w:rPr>
        <w:t xml:space="preserve"> Cumhurbaşkanlığı Yayınları,</w:t>
      </w:r>
      <w:r w:rsidR="00F96C7E" w:rsidRPr="00E97E0B">
        <w:rPr>
          <w:rFonts w:ascii="Times New Roman" w:eastAsia="Calibri" w:hAnsi="Times New Roman" w:cs="Times New Roman"/>
          <w:sz w:val="24"/>
          <w:szCs w:val="24"/>
        </w:rPr>
        <w:t xml:space="preserve"> 201</w:t>
      </w:r>
      <w:r w:rsidR="0017679C" w:rsidRPr="00E97E0B">
        <w:rPr>
          <w:rFonts w:ascii="Times New Roman" w:eastAsia="Calibri" w:hAnsi="Times New Roman" w:cs="Times New Roman"/>
          <w:sz w:val="24"/>
          <w:szCs w:val="24"/>
        </w:rPr>
        <w:t>9</w:t>
      </w:r>
      <w:r w:rsidR="00F96C7E" w:rsidRPr="00E97E0B">
        <w:rPr>
          <w:rFonts w:ascii="Times New Roman" w:eastAsia="Calibri" w:hAnsi="Times New Roman" w:cs="Times New Roman"/>
          <w:sz w:val="24"/>
          <w:szCs w:val="24"/>
        </w:rPr>
        <w:t>.</w:t>
      </w:r>
    </w:p>
    <w:p w14:paraId="3DBD1735" w14:textId="5190101D" w:rsidR="00FA44CF"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FA44CF" w:rsidRPr="00E97E0B">
        <w:rPr>
          <w:rFonts w:ascii="Times New Roman" w:eastAsia="Calibri" w:hAnsi="Times New Roman" w:cs="Times New Roman"/>
          <w:i/>
          <w:iCs/>
          <w:sz w:val="24"/>
          <w:szCs w:val="24"/>
        </w:rPr>
        <w:t>“</w:t>
      </w:r>
      <w:r w:rsidR="00FA44CF" w:rsidRPr="00E97E0B">
        <w:rPr>
          <w:rFonts w:ascii="Times New Roman" w:eastAsia="Calibri" w:hAnsi="Times New Roman" w:cs="Times New Roman"/>
          <w:sz w:val="24"/>
          <w:szCs w:val="24"/>
        </w:rPr>
        <w:t xml:space="preserve">Ak Parti TBMM Grup Toplantısı, Ankara, 15 Kasım 2011,” </w:t>
      </w:r>
      <w:r w:rsidR="00FA44CF" w:rsidRPr="00E97E0B">
        <w:rPr>
          <w:rFonts w:ascii="Times New Roman" w:eastAsia="Calibri" w:hAnsi="Times New Roman" w:cs="Times New Roman"/>
          <w:i/>
          <w:sz w:val="24"/>
          <w:szCs w:val="24"/>
        </w:rPr>
        <w:t>Beraber Yürüdük Biz Bu Yollarda-8</w:t>
      </w:r>
      <w:r w:rsidR="00FA44CF" w:rsidRPr="00E97E0B">
        <w:rPr>
          <w:rFonts w:ascii="Times New Roman" w:eastAsia="Calibri" w:hAnsi="Times New Roman" w:cs="Times New Roman"/>
          <w:sz w:val="24"/>
          <w:szCs w:val="24"/>
        </w:rPr>
        <w:t xml:space="preserve"> </w:t>
      </w:r>
      <w:r w:rsidR="00FA44CF" w:rsidRPr="00E97E0B">
        <w:rPr>
          <w:rFonts w:ascii="Times New Roman" w:eastAsia="Calibri" w:hAnsi="Times New Roman" w:cs="Times New Roman"/>
          <w:i/>
          <w:iCs/>
          <w:sz w:val="24"/>
          <w:szCs w:val="24"/>
        </w:rPr>
        <w:t xml:space="preserve">Yeni Türkiye Vizyonu </w:t>
      </w:r>
      <w:r w:rsidR="00FA44CF" w:rsidRPr="00E97E0B">
        <w:rPr>
          <w:rFonts w:ascii="Times New Roman" w:eastAsia="Calibri" w:hAnsi="Times New Roman" w:cs="Times New Roman"/>
          <w:sz w:val="24"/>
          <w:szCs w:val="24"/>
        </w:rPr>
        <w:t xml:space="preserve">içinde, </w:t>
      </w:r>
      <w:r w:rsidR="00FA44CF" w:rsidRPr="00E97E0B">
        <w:rPr>
          <w:rFonts w:ascii="Times New Roman" w:eastAsia="Calibri" w:hAnsi="Times New Roman" w:cs="Times New Roman"/>
          <w:sz w:val="24"/>
          <w:szCs w:val="24"/>
          <w:lang w:val="en-US"/>
        </w:rPr>
        <w:t>Cumhurbaşkanlığı Yayınları,</w:t>
      </w:r>
      <w:r w:rsidR="00FA44CF" w:rsidRPr="00E97E0B">
        <w:rPr>
          <w:rFonts w:ascii="Times New Roman" w:eastAsia="Calibri" w:hAnsi="Times New Roman" w:cs="Times New Roman"/>
          <w:sz w:val="24"/>
          <w:szCs w:val="24"/>
        </w:rPr>
        <w:t xml:space="preserve"> 2019.</w:t>
      </w:r>
    </w:p>
    <w:p w14:paraId="6D51D04F" w14:textId="56BDEB80" w:rsidR="003211FB" w:rsidRPr="00E97E0B" w:rsidRDefault="000802EE" w:rsidP="003211FB">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3211FB" w:rsidRPr="00E97E0B">
        <w:rPr>
          <w:rFonts w:ascii="Times New Roman" w:eastAsia="Calibri" w:hAnsi="Times New Roman" w:cs="Times New Roman"/>
          <w:sz w:val="24"/>
          <w:szCs w:val="24"/>
        </w:rPr>
        <w:t xml:space="preserve">“AK Parti Genişletilmiş İl Başkanları Toplantısı Ankara, 19 Mart 2010.” </w:t>
      </w:r>
      <w:r w:rsidR="003211FB" w:rsidRPr="00E97E0B">
        <w:rPr>
          <w:rFonts w:ascii="Times New Roman" w:eastAsia="Calibri" w:hAnsi="Times New Roman" w:cs="Times New Roman"/>
          <w:i/>
          <w:iCs/>
          <w:sz w:val="24"/>
          <w:szCs w:val="24"/>
        </w:rPr>
        <w:t>“Beraber Yürüdük Biz Bu Yollarda-6</w:t>
      </w:r>
      <w:r w:rsidR="003211FB" w:rsidRPr="00E97E0B">
        <w:rPr>
          <w:rFonts w:ascii="Times New Roman" w:eastAsia="Calibri" w:hAnsi="Times New Roman" w:cs="Times New Roman"/>
          <w:sz w:val="24"/>
          <w:szCs w:val="24"/>
        </w:rPr>
        <w:t xml:space="preserve"> </w:t>
      </w:r>
      <w:r w:rsidR="003211FB" w:rsidRPr="00E97E0B">
        <w:rPr>
          <w:rFonts w:ascii="Times New Roman" w:eastAsia="Calibri" w:hAnsi="Times New Roman" w:cs="Times New Roman"/>
          <w:i/>
          <w:iCs/>
          <w:sz w:val="24"/>
          <w:szCs w:val="24"/>
        </w:rPr>
        <w:t xml:space="preserve">Yeni Türkiye Vizyonu </w:t>
      </w:r>
      <w:r w:rsidR="003211FB" w:rsidRPr="00E97E0B">
        <w:rPr>
          <w:rFonts w:ascii="Times New Roman" w:eastAsia="Calibri" w:hAnsi="Times New Roman" w:cs="Times New Roman"/>
          <w:sz w:val="24"/>
          <w:szCs w:val="24"/>
        </w:rPr>
        <w:t xml:space="preserve">içinde, </w:t>
      </w:r>
      <w:r w:rsidR="003211FB" w:rsidRPr="00E97E0B">
        <w:rPr>
          <w:rFonts w:ascii="Times New Roman" w:eastAsia="Calibri" w:hAnsi="Times New Roman" w:cs="Times New Roman"/>
          <w:sz w:val="24"/>
          <w:szCs w:val="24"/>
          <w:lang w:val="en-US"/>
        </w:rPr>
        <w:t>Cumhurbaşkanlığı Yayınları,</w:t>
      </w:r>
      <w:r w:rsidR="003211FB" w:rsidRPr="00E97E0B">
        <w:rPr>
          <w:rFonts w:ascii="Times New Roman" w:eastAsia="Calibri" w:hAnsi="Times New Roman" w:cs="Times New Roman"/>
          <w:sz w:val="24"/>
          <w:szCs w:val="24"/>
        </w:rPr>
        <w:t xml:space="preserve"> 2019.</w:t>
      </w:r>
    </w:p>
    <w:p w14:paraId="0DF05216" w14:textId="5CD42E6C" w:rsidR="00F96C7E"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FA0A5D" w:rsidRPr="00E97E0B">
        <w:rPr>
          <w:rFonts w:ascii="Times New Roman" w:eastAsia="Calibri" w:hAnsi="Times New Roman" w:cs="Times New Roman"/>
          <w:sz w:val="24"/>
          <w:szCs w:val="24"/>
        </w:rPr>
        <w:t>“</w:t>
      </w:r>
      <w:r w:rsidR="00F96C7E" w:rsidRPr="00E97E0B">
        <w:rPr>
          <w:rFonts w:ascii="Times New Roman" w:eastAsia="Calibri" w:hAnsi="Times New Roman" w:cs="Times New Roman"/>
          <w:sz w:val="24"/>
          <w:szCs w:val="24"/>
        </w:rPr>
        <w:t>AK Parti Milletvekilleri ile İstişare Toplantısı, Ankara, 24 Temmuz 2009</w:t>
      </w:r>
      <w:r w:rsidR="00FA0A5D" w:rsidRPr="00E97E0B">
        <w:rPr>
          <w:rFonts w:ascii="Times New Roman" w:eastAsia="Calibri" w:hAnsi="Times New Roman" w:cs="Times New Roman"/>
          <w:sz w:val="24"/>
          <w:szCs w:val="24"/>
        </w:rPr>
        <w:t>.”</w:t>
      </w:r>
      <w:r w:rsidR="00FA0A5D" w:rsidRPr="00E97E0B">
        <w:rPr>
          <w:rFonts w:ascii="Times New Roman" w:eastAsia="Calibri" w:hAnsi="Times New Roman" w:cs="Times New Roman"/>
          <w:sz w:val="24"/>
          <w:szCs w:val="24"/>
          <w:lang w:val="en-US"/>
        </w:rPr>
        <w:t xml:space="preserve"> </w:t>
      </w:r>
      <w:r w:rsidR="00B82727" w:rsidRPr="00E97E0B">
        <w:rPr>
          <w:rFonts w:ascii="Times New Roman" w:eastAsia="Calibri" w:hAnsi="Times New Roman" w:cs="Times New Roman"/>
          <w:i/>
          <w:iCs/>
          <w:sz w:val="24"/>
          <w:szCs w:val="24"/>
        </w:rPr>
        <w:t>Beraber Yürüdük Biz Bu Yollarda-6</w:t>
      </w:r>
      <w:r w:rsidR="00B82727"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i/>
          <w:iCs/>
          <w:sz w:val="24"/>
          <w:szCs w:val="24"/>
        </w:rPr>
        <w:t xml:space="preserve">Yeni Türkiye Vizyonu </w:t>
      </w:r>
      <w:r w:rsidR="00B82727" w:rsidRPr="00E97E0B">
        <w:rPr>
          <w:rFonts w:ascii="Times New Roman" w:eastAsia="Calibri" w:hAnsi="Times New Roman" w:cs="Times New Roman"/>
          <w:sz w:val="24"/>
          <w:szCs w:val="24"/>
        </w:rPr>
        <w:t>içinde</w:t>
      </w:r>
      <w:r w:rsidR="00B82727" w:rsidRPr="00E97E0B">
        <w:rPr>
          <w:rFonts w:ascii="Times New Roman" w:eastAsia="Calibri" w:hAnsi="Times New Roman" w:cs="Times New Roman"/>
          <w:i/>
          <w:iCs/>
          <w:sz w:val="24"/>
          <w:szCs w:val="24"/>
        </w:rPr>
        <w:t xml:space="preserve">, </w:t>
      </w:r>
      <w:r w:rsidR="00FA0A5D" w:rsidRPr="00E97E0B">
        <w:rPr>
          <w:rFonts w:ascii="Times New Roman" w:eastAsia="Calibri" w:hAnsi="Times New Roman" w:cs="Times New Roman"/>
          <w:sz w:val="24"/>
          <w:szCs w:val="24"/>
          <w:lang w:val="en-US"/>
        </w:rPr>
        <w:t>Cumhurbaşkanlığı Yayınları,</w:t>
      </w:r>
      <w:r w:rsidR="00FA0A5D" w:rsidRPr="00E97E0B">
        <w:rPr>
          <w:rFonts w:ascii="Times New Roman" w:eastAsia="Calibri" w:hAnsi="Times New Roman" w:cs="Times New Roman"/>
          <w:sz w:val="24"/>
          <w:szCs w:val="24"/>
        </w:rPr>
        <w:t xml:space="preserve"> 2019.</w:t>
      </w:r>
    </w:p>
    <w:p w14:paraId="4472BA56" w14:textId="22D87B87" w:rsidR="00FA44CF" w:rsidRPr="00E97E0B" w:rsidRDefault="000802EE" w:rsidP="00FA44CF">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FA44CF" w:rsidRPr="00E97E0B">
        <w:rPr>
          <w:rFonts w:ascii="Times New Roman" w:eastAsia="Calibri" w:hAnsi="Times New Roman" w:cs="Times New Roman"/>
          <w:sz w:val="24"/>
          <w:szCs w:val="24"/>
        </w:rPr>
        <w:t>“AK Parti Genişletilmiş İl Başkanları Toplantısı, Ankara, 23 Kasım 2011.”</w:t>
      </w:r>
      <w:r w:rsidR="00FA44CF" w:rsidRPr="00E97E0B">
        <w:rPr>
          <w:rFonts w:ascii="Times New Roman" w:eastAsia="Calibri" w:hAnsi="Times New Roman" w:cs="Times New Roman"/>
          <w:i/>
          <w:iCs/>
          <w:sz w:val="24"/>
          <w:szCs w:val="24"/>
        </w:rPr>
        <w:t xml:space="preserve"> Beraber Yürüdük Biz Bu Yollarda 8 Yeni Türkiye Vizyonu</w:t>
      </w:r>
      <w:r w:rsidR="00FA44CF" w:rsidRPr="00E97E0B">
        <w:rPr>
          <w:rFonts w:ascii="Times New Roman" w:eastAsia="Calibri" w:hAnsi="Times New Roman" w:cs="Times New Roman"/>
          <w:sz w:val="24"/>
          <w:szCs w:val="24"/>
        </w:rPr>
        <w:t xml:space="preserve"> içinde,</w:t>
      </w:r>
      <w:r w:rsidR="00FA44CF" w:rsidRPr="00E97E0B">
        <w:rPr>
          <w:rFonts w:ascii="Times New Roman" w:eastAsia="Calibri" w:hAnsi="Times New Roman" w:cs="Times New Roman"/>
          <w:sz w:val="24"/>
          <w:szCs w:val="24"/>
          <w:lang w:val="en-US"/>
        </w:rPr>
        <w:t xml:space="preserve"> Cumhurbaşkanlığı Yayınları,</w:t>
      </w:r>
      <w:r w:rsidR="00FA44CF" w:rsidRPr="00E97E0B">
        <w:rPr>
          <w:rFonts w:ascii="Times New Roman" w:eastAsia="Calibri" w:hAnsi="Times New Roman" w:cs="Times New Roman"/>
          <w:sz w:val="24"/>
          <w:szCs w:val="24"/>
        </w:rPr>
        <w:t xml:space="preserve"> 2019.</w:t>
      </w:r>
    </w:p>
    <w:p w14:paraId="14F98BBE" w14:textId="4F970D71" w:rsidR="00FA44CF"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FA44CF" w:rsidRPr="00E97E0B">
        <w:rPr>
          <w:rFonts w:ascii="Times New Roman" w:eastAsia="Calibri" w:hAnsi="Times New Roman" w:cs="Times New Roman"/>
          <w:sz w:val="24"/>
          <w:szCs w:val="24"/>
        </w:rPr>
        <w:t xml:space="preserve">“Ak Parti Genişletilmiş İl Başkanları Toplantısı, Ankara, 20 Kasım 2009.” </w:t>
      </w:r>
      <w:r w:rsidR="00FA44CF" w:rsidRPr="00E97E0B">
        <w:rPr>
          <w:rFonts w:ascii="Times New Roman" w:eastAsia="Calibri" w:hAnsi="Times New Roman" w:cs="Times New Roman"/>
          <w:i/>
          <w:iCs/>
          <w:sz w:val="24"/>
          <w:szCs w:val="24"/>
        </w:rPr>
        <w:t>Beraber Yüüdük Biz Bu Yollarda-6</w:t>
      </w:r>
      <w:r w:rsidR="00FA44CF" w:rsidRPr="00E97E0B">
        <w:rPr>
          <w:rFonts w:ascii="Times New Roman" w:eastAsia="Calibri" w:hAnsi="Times New Roman" w:cs="Times New Roman"/>
          <w:sz w:val="24"/>
          <w:szCs w:val="24"/>
        </w:rPr>
        <w:t xml:space="preserve"> </w:t>
      </w:r>
      <w:r w:rsidR="00FA44CF" w:rsidRPr="00E97E0B">
        <w:rPr>
          <w:rFonts w:ascii="Times New Roman" w:eastAsia="Calibri" w:hAnsi="Times New Roman" w:cs="Times New Roman"/>
          <w:i/>
          <w:iCs/>
          <w:sz w:val="24"/>
          <w:szCs w:val="24"/>
        </w:rPr>
        <w:t>Yeni Türkiye Vizyonu</w:t>
      </w:r>
      <w:r w:rsidR="00FA44CF" w:rsidRPr="00E97E0B">
        <w:rPr>
          <w:rFonts w:ascii="Times New Roman" w:eastAsia="Calibri" w:hAnsi="Times New Roman" w:cs="Times New Roman"/>
          <w:sz w:val="24"/>
          <w:szCs w:val="24"/>
        </w:rPr>
        <w:t xml:space="preserve"> içinde, </w:t>
      </w:r>
      <w:r w:rsidR="00FA44CF" w:rsidRPr="00E97E0B">
        <w:rPr>
          <w:rFonts w:ascii="Times New Roman" w:eastAsia="Calibri" w:hAnsi="Times New Roman" w:cs="Times New Roman"/>
          <w:sz w:val="24"/>
          <w:szCs w:val="24"/>
          <w:lang w:val="en-US"/>
        </w:rPr>
        <w:t>Cumhurbaşkanlığı Yayınları,</w:t>
      </w:r>
      <w:r w:rsidR="00FA44CF" w:rsidRPr="00E97E0B">
        <w:rPr>
          <w:rFonts w:ascii="Times New Roman" w:eastAsia="Calibri" w:hAnsi="Times New Roman" w:cs="Times New Roman"/>
          <w:sz w:val="24"/>
          <w:szCs w:val="24"/>
        </w:rPr>
        <w:t xml:space="preserve"> 2019.</w:t>
      </w:r>
    </w:p>
    <w:p w14:paraId="03B66127" w14:textId="1680F264" w:rsidR="00FA44CF"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FA44CF" w:rsidRPr="00E97E0B">
        <w:rPr>
          <w:rFonts w:ascii="Times New Roman" w:eastAsia="Calibri" w:hAnsi="Times New Roman" w:cs="Times New Roman"/>
          <w:sz w:val="24"/>
          <w:szCs w:val="24"/>
        </w:rPr>
        <w:t xml:space="preserve">“Ak Parti İl Kongresi, Ankara, 19 Temmuz 2009.” </w:t>
      </w:r>
      <w:r w:rsidR="00FA44CF" w:rsidRPr="00E97E0B">
        <w:rPr>
          <w:rFonts w:ascii="Times New Roman" w:eastAsia="Calibri" w:hAnsi="Times New Roman" w:cs="Times New Roman"/>
          <w:i/>
          <w:iCs/>
          <w:sz w:val="24"/>
          <w:szCs w:val="24"/>
        </w:rPr>
        <w:t>Beraber Yürüdük Biz Bu Yollarda-6</w:t>
      </w:r>
      <w:r w:rsidR="00FA44CF" w:rsidRPr="00E97E0B">
        <w:rPr>
          <w:rFonts w:ascii="Times New Roman" w:eastAsia="Calibri" w:hAnsi="Times New Roman" w:cs="Times New Roman"/>
          <w:sz w:val="24"/>
          <w:szCs w:val="24"/>
        </w:rPr>
        <w:t xml:space="preserve"> </w:t>
      </w:r>
      <w:r w:rsidR="00FA44CF" w:rsidRPr="00E97E0B">
        <w:rPr>
          <w:rFonts w:ascii="Times New Roman" w:eastAsia="Calibri" w:hAnsi="Times New Roman" w:cs="Times New Roman"/>
          <w:i/>
          <w:iCs/>
          <w:sz w:val="24"/>
          <w:szCs w:val="24"/>
        </w:rPr>
        <w:t>Yeni Türkiye Vizyonu</w:t>
      </w:r>
      <w:r w:rsidR="00FA44CF" w:rsidRPr="00E97E0B">
        <w:rPr>
          <w:rFonts w:ascii="Times New Roman" w:eastAsia="Calibri" w:hAnsi="Times New Roman" w:cs="Times New Roman"/>
          <w:sz w:val="24"/>
          <w:szCs w:val="24"/>
        </w:rPr>
        <w:t xml:space="preserve"> içinde, </w:t>
      </w:r>
      <w:r w:rsidR="00FA44CF" w:rsidRPr="00E97E0B">
        <w:rPr>
          <w:rFonts w:ascii="Times New Roman" w:eastAsia="Calibri" w:hAnsi="Times New Roman" w:cs="Times New Roman"/>
          <w:sz w:val="24"/>
          <w:szCs w:val="24"/>
          <w:lang w:val="en-US"/>
        </w:rPr>
        <w:t>Cumhurbaşkanlığı Yayınları,</w:t>
      </w:r>
      <w:r w:rsidR="00FA44CF" w:rsidRPr="00E97E0B">
        <w:rPr>
          <w:rFonts w:ascii="Times New Roman" w:eastAsia="Calibri" w:hAnsi="Times New Roman" w:cs="Times New Roman"/>
          <w:sz w:val="24"/>
          <w:szCs w:val="24"/>
        </w:rPr>
        <w:t xml:space="preserve"> 2019.</w:t>
      </w:r>
    </w:p>
    <w:p w14:paraId="5789D17C" w14:textId="7C950013" w:rsidR="00F96C7E"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FA0A5D" w:rsidRPr="00E97E0B">
        <w:rPr>
          <w:rFonts w:ascii="Times New Roman" w:eastAsia="Calibri" w:hAnsi="Times New Roman" w:cs="Times New Roman"/>
          <w:sz w:val="24"/>
          <w:szCs w:val="24"/>
        </w:rPr>
        <w:t>“</w:t>
      </w:r>
      <w:r w:rsidR="00F96C7E" w:rsidRPr="00E97E0B">
        <w:rPr>
          <w:rFonts w:ascii="Times New Roman" w:eastAsia="Calibri" w:hAnsi="Times New Roman" w:cs="Times New Roman"/>
          <w:sz w:val="24"/>
          <w:szCs w:val="24"/>
        </w:rPr>
        <w:t>Ak Parti İl Kongresi, Konya, 17 Temmuz 2009.</w:t>
      </w:r>
      <w:r w:rsidR="00FA0A5D" w:rsidRPr="00E97E0B">
        <w:rPr>
          <w:rFonts w:ascii="Times New Roman" w:eastAsia="Calibri" w:hAnsi="Times New Roman" w:cs="Times New Roman"/>
          <w:sz w:val="24"/>
          <w:szCs w:val="24"/>
        </w:rPr>
        <w:t>”</w:t>
      </w:r>
      <w:r w:rsidR="00FA0A5D" w:rsidRPr="00E97E0B">
        <w:rPr>
          <w:rFonts w:ascii="Times New Roman" w:eastAsia="Calibri" w:hAnsi="Times New Roman" w:cs="Times New Roman"/>
          <w:sz w:val="24"/>
          <w:szCs w:val="24"/>
          <w:lang w:val="en-US"/>
        </w:rPr>
        <w:t xml:space="preserve"> </w:t>
      </w:r>
      <w:r w:rsidR="00B82727" w:rsidRPr="00E97E0B">
        <w:rPr>
          <w:rFonts w:ascii="Times New Roman" w:eastAsia="Calibri" w:hAnsi="Times New Roman" w:cs="Times New Roman"/>
          <w:i/>
          <w:iCs/>
          <w:sz w:val="24"/>
          <w:szCs w:val="24"/>
        </w:rPr>
        <w:t>Beraber Yürüdük Biz Bu Yollarda-6</w:t>
      </w:r>
      <w:r w:rsidR="00B82727"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i/>
          <w:iCs/>
          <w:sz w:val="24"/>
          <w:szCs w:val="24"/>
        </w:rPr>
        <w:t xml:space="preserve">Yeni Türkiye Vizyonu </w:t>
      </w:r>
      <w:r w:rsidR="00B82727" w:rsidRPr="00E97E0B">
        <w:rPr>
          <w:rFonts w:ascii="Times New Roman" w:eastAsia="Calibri" w:hAnsi="Times New Roman" w:cs="Times New Roman"/>
          <w:sz w:val="24"/>
          <w:szCs w:val="24"/>
        </w:rPr>
        <w:t xml:space="preserve">içinde, </w:t>
      </w:r>
      <w:r w:rsidR="00FA0A5D" w:rsidRPr="00E97E0B">
        <w:rPr>
          <w:rFonts w:ascii="Times New Roman" w:eastAsia="Calibri" w:hAnsi="Times New Roman" w:cs="Times New Roman"/>
          <w:sz w:val="24"/>
          <w:szCs w:val="24"/>
          <w:lang w:val="en-US"/>
        </w:rPr>
        <w:t>Cumhurbaşkanlığı Yayınları,</w:t>
      </w:r>
      <w:r w:rsidR="00FA0A5D" w:rsidRPr="00E97E0B">
        <w:rPr>
          <w:rFonts w:ascii="Times New Roman" w:eastAsia="Calibri" w:hAnsi="Times New Roman" w:cs="Times New Roman"/>
          <w:sz w:val="24"/>
          <w:szCs w:val="24"/>
        </w:rPr>
        <w:t xml:space="preserve"> 2019.</w:t>
      </w:r>
    </w:p>
    <w:p w14:paraId="781B1625" w14:textId="19035538" w:rsidR="00F96C7E"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FA0A5D" w:rsidRPr="00E97E0B">
        <w:rPr>
          <w:rFonts w:ascii="Times New Roman" w:eastAsia="Calibri" w:hAnsi="Times New Roman" w:cs="Times New Roman"/>
          <w:sz w:val="24"/>
          <w:szCs w:val="24"/>
        </w:rPr>
        <w:t xml:space="preserve">AK Parti İl Mitingi, </w:t>
      </w:r>
      <w:r w:rsidR="00F96C7E" w:rsidRPr="00E97E0B">
        <w:rPr>
          <w:rFonts w:ascii="Times New Roman" w:eastAsia="Calibri" w:hAnsi="Times New Roman" w:cs="Times New Roman"/>
          <w:sz w:val="24"/>
          <w:szCs w:val="24"/>
        </w:rPr>
        <w:t>21 Mart 2009 Elazığ</w:t>
      </w:r>
      <w:r w:rsidR="001D012F" w:rsidRPr="00E97E0B">
        <w:rPr>
          <w:rFonts w:ascii="Times New Roman" w:eastAsia="Calibri" w:hAnsi="Times New Roman" w:cs="Times New Roman"/>
          <w:sz w:val="24"/>
          <w:szCs w:val="24"/>
        </w:rPr>
        <w:t>.</w:t>
      </w:r>
      <w:r w:rsidR="00FA0A5D" w:rsidRPr="00E97E0B">
        <w:rPr>
          <w:rFonts w:ascii="Times New Roman" w:eastAsia="Calibri" w:hAnsi="Times New Roman" w:cs="Times New Roman"/>
          <w:sz w:val="24"/>
          <w:szCs w:val="24"/>
        </w:rPr>
        <w:t>”</w:t>
      </w:r>
      <w:r w:rsidR="001D012F"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i/>
          <w:iCs/>
          <w:sz w:val="24"/>
          <w:szCs w:val="24"/>
        </w:rPr>
        <w:t>Yeni Türkiye Vizyonu</w:t>
      </w:r>
      <w:r w:rsidR="00B82727"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i/>
          <w:iCs/>
          <w:sz w:val="24"/>
          <w:szCs w:val="24"/>
        </w:rPr>
        <w:t xml:space="preserve">Durmak Yok Yola Devam-1 </w:t>
      </w:r>
      <w:r w:rsidR="00B82727" w:rsidRPr="00E97E0B">
        <w:rPr>
          <w:rFonts w:ascii="Times New Roman" w:eastAsia="Calibri" w:hAnsi="Times New Roman" w:cs="Times New Roman"/>
          <w:sz w:val="24"/>
          <w:szCs w:val="24"/>
        </w:rPr>
        <w:t xml:space="preserve">içinde, </w:t>
      </w:r>
      <w:r w:rsidR="00FA0A5D" w:rsidRPr="00E97E0B">
        <w:rPr>
          <w:rFonts w:ascii="Times New Roman" w:eastAsia="Calibri" w:hAnsi="Times New Roman" w:cs="Times New Roman"/>
          <w:sz w:val="24"/>
          <w:szCs w:val="24"/>
          <w:lang w:val="en-US"/>
        </w:rPr>
        <w:t>Cumhurbaşkanlığı Yayınları,</w:t>
      </w:r>
      <w:r w:rsidR="00FA0A5D" w:rsidRPr="00E97E0B">
        <w:rPr>
          <w:rFonts w:ascii="Times New Roman" w:eastAsia="Calibri" w:hAnsi="Times New Roman" w:cs="Times New Roman"/>
          <w:sz w:val="24"/>
          <w:szCs w:val="24"/>
        </w:rPr>
        <w:t xml:space="preserve"> 2019.</w:t>
      </w:r>
    </w:p>
    <w:p w14:paraId="19F626E4" w14:textId="1764E48D" w:rsidR="00AE2679"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AE2679" w:rsidRPr="00E97E0B">
        <w:rPr>
          <w:rFonts w:ascii="Times New Roman" w:eastAsia="Calibri" w:hAnsi="Times New Roman" w:cs="Times New Roman"/>
          <w:sz w:val="24"/>
          <w:szCs w:val="24"/>
        </w:rPr>
        <w:t xml:space="preserve">“AK Parti İl Gençlik Kolları 3.Olağan Kongresi’ne Canlı Yayın ile Katılım 19 Şubat 2012 Ankara.” </w:t>
      </w:r>
      <w:r w:rsidR="00AE2679" w:rsidRPr="00E97E0B">
        <w:rPr>
          <w:rFonts w:ascii="Times New Roman" w:eastAsia="Calibri" w:hAnsi="Times New Roman" w:cs="Times New Roman"/>
          <w:i/>
          <w:iCs/>
          <w:sz w:val="24"/>
          <w:szCs w:val="24"/>
        </w:rPr>
        <w:t>Beraber Yürüdük Biz Bu Yollarda-8 Yeni Türkiye Vizyonu</w:t>
      </w:r>
      <w:r w:rsidR="00AE2679" w:rsidRPr="00E97E0B">
        <w:rPr>
          <w:rFonts w:ascii="Times New Roman" w:eastAsia="Calibri" w:hAnsi="Times New Roman" w:cs="Times New Roman"/>
          <w:sz w:val="24"/>
          <w:szCs w:val="24"/>
        </w:rPr>
        <w:t xml:space="preserve"> içinde, </w:t>
      </w:r>
      <w:r w:rsidR="00AE2679" w:rsidRPr="00E97E0B">
        <w:rPr>
          <w:rFonts w:ascii="Times New Roman" w:eastAsia="Calibri" w:hAnsi="Times New Roman" w:cs="Times New Roman"/>
          <w:sz w:val="24"/>
          <w:szCs w:val="24"/>
          <w:lang w:val="en-US"/>
        </w:rPr>
        <w:t>Cumhurbaşkanlığı Yayınları,</w:t>
      </w:r>
      <w:r w:rsidR="00AE2679" w:rsidRPr="00E97E0B">
        <w:rPr>
          <w:rFonts w:ascii="Times New Roman" w:eastAsia="Calibri" w:hAnsi="Times New Roman" w:cs="Times New Roman"/>
          <w:sz w:val="24"/>
          <w:szCs w:val="24"/>
        </w:rPr>
        <w:t xml:space="preserve"> 2019.</w:t>
      </w:r>
    </w:p>
    <w:p w14:paraId="6B276F91" w14:textId="733DE3A5" w:rsidR="00AE2679"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AE2679" w:rsidRPr="00E97E0B">
        <w:rPr>
          <w:rFonts w:ascii="Times New Roman" w:eastAsia="Calibri" w:hAnsi="Times New Roman" w:cs="Times New Roman"/>
          <w:sz w:val="24"/>
          <w:szCs w:val="24"/>
        </w:rPr>
        <w:t>“Bingöl, AK Parti İl Kongresi, 30 Mayıs 2009.”</w:t>
      </w:r>
      <w:r w:rsidR="00AE2679" w:rsidRPr="00E97E0B">
        <w:rPr>
          <w:rFonts w:ascii="Times New Roman" w:eastAsia="Calibri" w:hAnsi="Times New Roman" w:cs="Times New Roman"/>
          <w:i/>
          <w:iCs/>
          <w:sz w:val="24"/>
          <w:szCs w:val="24"/>
        </w:rPr>
        <w:t xml:space="preserve"> Beraber Yürüdük Biz Bu Yollarda-5</w:t>
      </w:r>
      <w:r w:rsidR="00AE2679" w:rsidRPr="00E97E0B">
        <w:rPr>
          <w:rFonts w:ascii="Times New Roman" w:eastAsia="Calibri" w:hAnsi="Times New Roman" w:cs="Times New Roman"/>
          <w:sz w:val="24"/>
          <w:szCs w:val="24"/>
        </w:rPr>
        <w:t xml:space="preserve"> içinde, </w:t>
      </w:r>
      <w:r w:rsidR="00AE2679" w:rsidRPr="00E97E0B">
        <w:rPr>
          <w:rFonts w:ascii="Times New Roman" w:eastAsia="Calibri" w:hAnsi="Times New Roman" w:cs="Times New Roman"/>
          <w:sz w:val="24"/>
          <w:szCs w:val="24"/>
          <w:lang w:val="en-US"/>
        </w:rPr>
        <w:t>Cumhurbaşkanlığı Yayınları,</w:t>
      </w:r>
      <w:r w:rsidR="00AE2679" w:rsidRPr="00E97E0B">
        <w:rPr>
          <w:rFonts w:ascii="Times New Roman" w:eastAsia="Calibri" w:hAnsi="Times New Roman" w:cs="Times New Roman"/>
          <w:sz w:val="24"/>
          <w:szCs w:val="24"/>
        </w:rPr>
        <w:t xml:space="preserve"> 2019.</w:t>
      </w:r>
    </w:p>
    <w:p w14:paraId="422D9016" w14:textId="17834D5E" w:rsidR="00F96C7E"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A32BD8" w:rsidRPr="00E97E0B">
        <w:rPr>
          <w:rFonts w:ascii="Times New Roman" w:eastAsia="Calibri" w:hAnsi="Times New Roman" w:cs="Times New Roman"/>
          <w:i/>
          <w:iCs/>
          <w:sz w:val="24"/>
          <w:szCs w:val="24"/>
        </w:rPr>
        <w:t>“</w:t>
      </w:r>
      <w:r w:rsidR="00F96C7E" w:rsidRPr="00E97E0B">
        <w:rPr>
          <w:rFonts w:ascii="Times New Roman" w:eastAsia="Calibri" w:hAnsi="Times New Roman" w:cs="Times New Roman"/>
          <w:sz w:val="24"/>
          <w:szCs w:val="24"/>
        </w:rPr>
        <w:t>Çorum AK Parti il mitingi</w:t>
      </w:r>
      <w:r w:rsidR="00A32BD8" w:rsidRPr="00E97E0B">
        <w:rPr>
          <w:rFonts w:ascii="Times New Roman" w:eastAsia="Calibri" w:hAnsi="Times New Roman" w:cs="Times New Roman"/>
          <w:sz w:val="24"/>
          <w:szCs w:val="24"/>
        </w:rPr>
        <w:t>17 Ağustos 2010.”</w:t>
      </w:r>
      <w:r w:rsidR="00F96C7E"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i/>
          <w:iCs/>
          <w:sz w:val="24"/>
          <w:szCs w:val="24"/>
        </w:rPr>
        <w:t>Yeni Türkiye Vizyonu</w:t>
      </w:r>
      <w:r w:rsidR="00B82727"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i/>
          <w:iCs/>
          <w:sz w:val="24"/>
          <w:szCs w:val="24"/>
        </w:rPr>
        <w:t xml:space="preserve">Durmak Yok Yola Devam-2 </w:t>
      </w:r>
      <w:r w:rsidR="00B82727" w:rsidRPr="00E97E0B">
        <w:rPr>
          <w:rFonts w:ascii="Times New Roman" w:eastAsia="Calibri" w:hAnsi="Times New Roman" w:cs="Times New Roman"/>
          <w:sz w:val="24"/>
          <w:szCs w:val="24"/>
        </w:rPr>
        <w:t>içinde,</w:t>
      </w:r>
      <w:r w:rsidR="00B82727" w:rsidRPr="00E97E0B">
        <w:rPr>
          <w:rFonts w:ascii="Times New Roman" w:eastAsia="Calibri" w:hAnsi="Times New Roman" w:cs="Times New Roman"/>
          <w:i/>
          <w:iCs/>
          <w:sz w:val="24"/>
          <w:szCs w:val="24"/>
        </w:rPr>
        <w:t xml:space="preserve"> </w:t>
      </w:r>
      <w:r w:rsidR="00A32BD8" w:rsidRPr="00E97E0B">
        <w:rPr>
          <w:rFonts w:ascii="Times New Roman" w:eastAsia="Calibri" w:hAnsi="Times New Roman" w:cs="Times New Roman"/>
          <w:sz w:val="24"/>
          <w:szCs w:val="24"/>
          <w:lang w:val="en-US"/>
        </w:rPr>
        <w:t>Cumhurbaşkanlığı Yayınları,</w:t>
      </w:r>
      <w:r w:rsidR="00A32BD8" w:rsidRPr="00E97E0B">
        <w:rPr>
          <w:rFonts w:ascii="Times New Roman" w:eastAsia="Calibri" w:hAnsi="Times New Roman" w:cs="Times New Roman"/>
          <w:sz w:val="24"/>
          <w:szCs w:val="24"/>
        </w:rPr>
        <w:t xml:space="preserve"> 2019.</w:t>
      </w:r>
    </w:p>
    <w:p w14:paraId="6A208BC5" w14:textId="18EE30A1" w:rsidR="00A61D56" w:rsidRPr="00E97E0B" w:rsidRDefault="000802EE" w:rsidP="00A61D56">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A61D56" w:rsidRPr="00E97E0B">
        <w:rPr>
          <w:rFonts w:ascii="Times New Roman" w:eastAsia="Calibri" w:hAnsi="Times New Roman" w:cs="Times New Roman"/>
          <w:sz w:val="24"/>
          <w:szCs w:val="24"/>
        </w:rPr>
        <w:t xml:space="preserve">“Genel Yayın Yönetmenleriyle Toplantı, Ankara, 20 Ekim 2011.” </w:t>
      </w:r>
      <w:r w:rsidR="00A61D56" w:rsidRPr="00E97E0B">
        <w:rPr>
          <w:rFonts w:ascii="Times New Roman" w:eastAsia="Calibri" w:hAnsi="Times New Roman" w:cs="Times New Roman"/>
          <w:i/>
          <w:iCs/>
          <w:sz w:val="24"/>
          <w:szCs w:val="24"/>
        </w:rPr>
        <w:t xml:space="preserve">Yeni Türkiye Vizyonu Efendi Değil </w:t>
      </w:r>
      <w:r w:rsidR="00881AEA" w:rsidRPr="00E97E0B">
        <w:rPr>
          <w:rFonts w:ascii="Times New Roman" w:eastAsia="Calibri" w:hAnsi="Times New Roman" w:cs="Times New Roman"/>
          <w:i/>
          <w:iCs/>
          <w:sz w:val="24"/>
          <w:szCs w:val="24"/>
        </w:rPr>
        <w:t>Hizmetkâr</w:t>
      </w:r>
      <w:r w:rsidR="00A61D56" w:rsidRPr="00E97E0B">
        <w:rPr>
          <w:rFonts w:ascii="Times New Roman" w:eastAsia="Calibri" w:hAnsi="Times New Roman" w:cs="Times New Roman"/>
          <w:i/>
          <w:iCs/>
          <w:sz w:val="24"/>
          <w:szCs w:val="24"/>
        </w:rPr>
        <w:t xml:space="preserve"> Olmak-7 </w:t>
      </w:r>
      <w:r w:rsidR="00A61D56" w:rsidRPr="00E97E0B">
        <w:rPr>
          <w:rFonts w:ascii="Times New Roman" w:eastAsia="Calibri" w:hAnsi="Times New Roman" w:cs="Times New Roman"/>
          <w:sz w:val="24"/>
          <w:szCs w:val="24"/>
        </w:rPr>
        <w:t xml:space="preserve">içinde, </w:t>
      </w:r>
      <w:r w:rsidR="00A61D56" w:rsidRPr="00E97E0B">
        <w:rPr>
          <w:rFonts w:ascii="Times New Roman" w:eastAsia="Calibri" w:hAnsi="Times New Roman" w:cs="Times New Roman"/>
          <w:sz w:val="24"/>
          <w:szCs w:val="24"/>
          <w:lang w:val="en-US"/>
        </w:rPr>
        <w:t>Cumhurbaşkanlığı Yayınları,</w:t>
      </w:r>
      <w:r w:rsidR="00A61D56" w:rsidRPr="00E97E0B">
        <w:rPr>
          <w:rFonts w:ascii="Times New Roman" w:eastAsia="Calibri" w:hAnsi="Times New Roman" w:cs="Times New Roman"/>
          <w:sz w:val="24"/>
          <w:szCs w:val="24"/>
        </w:rPr>
        <w:t xml:space="preserve"> 2019.</w:t>
      </w:r>
    </w:p>
    <w:p w14:paraId="3D2907E4" w14:textId="2BD6A6B7" w:rsidR="00A61D56"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A61D56" w:rsidRPr="00E97E0B">
        <w:rPr>
          <w:rFonts w:ascii="Times New Roman" w:eastAsia="Calibri" w:hAnsi="Times New Roman" w:cs="Times New Roman"/>
          <w:sz w:val="24"/>
          <w:szCs w:val="24"/>
        </w:rPr>
        <w:t xml:space="preserve">“TBMM Genel Kurulu 2010 Yılı Bütçe Görüşmeleri Açış Konuşması, Ankara, 14 Aralık 2009.” </w:t>
      </w:r>
      <w:r w:rsidR="00A61D56" w:rsidRPr="00E97E0B">
        <w:rPr>
          <w:rFonts w:ascii="Times New Roman" w:eastAsia="Calibri" w:hAnsi="Times New Roman" w:cs="Times New Roman"/>
          <w:i/>
          <w:iCs/>
          <w:sz w:val="24"/>
          <w:szCs w:val="24"/>
        </w:rPr>
        <w:t xml:space="preserve">Yeni Türkiye Vizyonu Efendi Değil </w:t>
      </w:r>
      <w:r w:rsidR="00881AEA" w:rsidRPr="00E97E0B">
        <w:rPr>
          <w:rFonts w:ascii="Times New Roman" w:eastAsia="Calibri" w:hAnsi="Times New Roman" w:cs="Times New Roman"/>
          <w:i/>
          <w:iCs/>
          <w:sz w:val="24"/>
          <w:szCs w:val="24"/>
        </w:rPr>
        <w:t>Hizmetkâr</w:t>
      </w:r>
      <w:r w:rsidR="00A61D56" w:rsidRPr="00E97E0B">
        <w:rPr>
          <w:rFonts w:ascii="Times New Roman" w:eastAsia="Calibri" w:hAnsi="Times New Roman" w:cs="Times New Roman"/>
          <w:i/>
          <w:iCs/>
          <w:sz w:val="24"/>
          <w:szCs w:val="24"/>
        </w:rPr>
        <w:t xml:space="preserve"> Olmak-6 </w:t>
      </w:r>
      <w:r w:rsidR="00A61D56" w:rsidRPr="00E97E0B">
        <w:rPr>
          <w:rFonts w:ascii="Times New Roman" w:eastAsia="Calibri" w:hAnsi="Times New Roman" w:cs="Times New Roman"/>
          <w:sz w:val="24"/>
          <w:szCs w:val="24"/>
        </w:rPr>
        <w:t xml:space="preserve">içinde, </w:t>
      </w:r>
      <w:r w:rsidR="00A61D56" w:rsidRPr="00E97E0B">
        <w:rPr>
          <w:rFonts w:ascii="Times New Roman" w:eastAsia="Calibri" w:hAnsi="Times New Roman" w:cs="Times New Roman"/>
          <w:sz w:val="24"/>
          <w:szCs w:val="24"/>
          <w:lang w:val="en-US"/>
        </w:rPr>
        <w:t>Cumhurbaşkanlığı Yayınları,</w:t>
      </w:r>
      <w:r w:rsidR="00A61D56" w:rsidRPr="00E97E0B">
        <w:rPr>
          <w:rFonts w:ascii="Times New Roman" w:eastAsia="Calibri" w:hAnsi="Times New Roman" w:cs="Times New Roman"/>
          <w:sz w:val="24"/>
          <w:szCs w:val="24"/>
        </w:rPr>
        <w:t xml:space="preserve"> 2019.</w:t>
      </w:r>
    </w:p>
    <w:p w14:paraId="68FD8590" w14:textId="16DDF871" w:rsidR="00F96C7E"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___________</w:t>
      </w:r>
      <w:r w:rsidR="00F96C7E" w:rsidRPr="00E97E0B">
        <w:rPr>
          <w:rFonts w:ascii="Times New Roman" w:eastAsia="Calibri" w:hAnsi="Times New Roman" w:cs="Times New Roman"/>
          <w:sz w:val="24"/>
          <w:szCs w:val="24"/>
        </w:rPr>
        <w:t xml:space="preserve">. </w:t>
      </w:r>
      <w:r w:rsidR="008E4317" w:rsidRPr="00E97E0B">
        <w:rPr>
          <w:rFonts w:ascii="Times New Roman" w:eastAsia="Calibri" w:hAnsi="Times New Roman" w:cs="Times New Roman"/>
          <w:sz w:val="24"/>
          <w:szCs w:val="24"/>
        </w:rPr>
        <w:t>“</w:t>
      </w:r>
      <w:r w:rsidR="00F96C7E" w:rsidRPr="00E97E0B">
        <w:rPr>
          <w:rFonts w:ascii="Times New Roman" w:eastAsia="Calibri" w:hAnsi="Times New Roman" w:cs="Times New Roman"/>
          <w:sz w:val="24"/>
          <w:szCs w:val="24"/>
        </w:rPr>
        <w:t>2006-2007 TBMM Bütçe Görüşmeleri Açılış Konuşması, Ankara, 15 Aralık 2006.</w:t>
      </w:r>
      <w:r w:rsidR="008E4317"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i/>
          <w:iCs/>
          <w:sz w:val="24"/>
          <w:szCs w:val="24"/>
        </w:rPr>
        <w:t>Yeni Türkiye Vizyonu</w:t>
      </w:r>
      <w:r w:rsidR="00B82727"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i/>
          <w:iCs/>
          <w:sz w:val="24"/>
          <w:szCs w:val="24"/>
        </w:rPr>
        <w:t xml:space="preserve">Efendi Değil </w:t>
      </w:r>
      <w:r w:rsidR="00881AEA" w:rsidRPr="00E97E0B">
        <w:rPr>
          <w:rFonts w:ascii="Times New Roman" w:eastAsia="Calibri" w:hAnsi="Times New Roman" w:cs="Times New Roman"/>
          <w:i/>
          <w:iCs/>
          <w:sz w:val="24"/>
          <w:szCs w:val="24"/>
        </w:rPr>
        <w:t>Hizmetkâr</w:t>
      </w:r>
      <w:r w:rsidR="00B82727" w:rsidRPr="00E97E0B">
        <w:rPr>
          <w:rFonts w:ascii="Times New Roman" w:eastAsia="Calibri" w:hAnsi="Times New Roman" w:cs="Times New Roman"/>
          <w:i/>
          <w:iCs/>
          <w:sz w:val="24"/>
          <w:szCs w:val="24"/>
        </w:rPr>
        <w:t xml:space="preserve"> Olmak-4 </w:t>
      </w:r>
      <w:r w:rsidR="00B82727" w:rsidRPr="00E97E0B">
        <w:rPr>
          <w:rFonts w:ascii="Times New Roman" w:eastAsia="Calibri" w:hAnsi="Times New Roman" w:cs="Times New Roman"/>
          <w:sz w:val="24"/>
          <w:szCs w:val="24"/>
        </w:rPr>
        <w:t xml:space="preserve">içinde, </w:t>
      </w:r>
      <w:r w:rsidR="008E4317" w:rsidRPr="00E97E0B">
        <w:rPr>
          <w:rFonts w:ascii="Times New Roman" w:eastAsia="Calibri" w:hAnsi="Times New Roman" w:cs="Times New Roman"/>
          <w:sz w:val="24"/>
          <w:szCs w:val="24"/>
          <w:lang w:val="en-US"/>
        </w:rPr>
        <w:t>Cumhurbaşkanlığı Yayınları,</w:t>
      </w:r>
      <w:r w:rsidR="008E4317" w:rsidRPr="00E97E0B">
        <w:rPr>
          <w:rFonts w:ascii="Times New Roman" w:eastAsia="Calibri" w:hAnsi="Times New Roman" w:cs="Times New Roman"/>
          <w:sz w:val="24"/>
          <w:szCs w:val="24"/>
        </w:rPr>
        <w:t xml:space="preserve"> 2019.</w:t>
      </w:r>
    </w:p>
    <w:p w14:paraId="6D822F26" w14:textId="391C8A06" w:rsidR="00F96C7E"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930A0A" w:rsidRPr="00E97E0B">
        <w:rPr>
          <w:rFonts w:ascii="Times New Roman" w:eastAsia="Calibri" w:hAnsi="Times New Roman" w:cs="Times New Roman"/>
          <w:sz w:val="24"/>
          <w:szCs w:val="24"/>
        </w:rPr>
        <w:t>“</w:t>
      </w:r>
      <w:r w:rsidR="00F96C7E" w:rsidRPr="00E97E0B">
        <w:rPr>
          <w:rFonts w:ascii="Times New Roman" w:eastAsia="Calibri" w:hAnsi="Times New Roman" w:cs="Times New Roman"/>
          <w:sz w:val="24"/>
          <w:szCs w:val="24"/>
        </w:rPr>
        <w:t>İstanbul, TUSKON Genişletilmiş Başkanlar Kurulu Toplantısı 3 Mayıs 2011.</w:t>
      </w:r>
      <w:r w:rsidR="00930A0A" w:rsidRPr="00E97E0B">
        <w:rPr>
          <w:rFonts w:ascii="Times New Roman" w:eastAsia="Calibri" w:hAnsi="Times New Roman" w:cs="Times New Roman"/>
          <w:sz w:val="24"/>
          <w:szCs w:val="24"/>
        </w:rPr>
        <w:t>”</w:t>
      </w:r>
      <w:r w:rsidR="00B82727"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i/>
          <w:iCs/>
          <w:sz w:val="24"/>
          <w:szCs w:val="24"/>
        </w:rPr>
        <w:t xml:space="preserve">Yeni Türkiye Vizyonu. Efendi Değil </w:t>
      </w:r>
      <w:r w:rsidR="00881AEA" w:rsidRPr="00E97E0B">
        <w:rPr>
          <w:rFonts w:ascii="Times New Roman" w:eastAsia="Calibri" w:hAnsi="Times New Roman" w:cs="Times New Roman"/>
          <w:i/>
          <w:iCs/>
          <w:sz w:val="24"/>
          <w:szCs w:val="24"/>
        </w:rPr>
        <w:t>Hizmetkâr</w:t>
      </w:r>
      <w:r w:rsidR="00B82727" w:rsidRPr="00E97E0B">
        <w:rPr>
          <w:rFonts w:ascii="Times New Roman" w:eastAsia="Calibri" w:hAnsi="Times New Roman" w:cs="Times New Roman"/>
          <w:i/>
          <w:iCs/>
          <w:sz w:val="24"/>
          <w:szCs w:val="24"/>
        </w:rPr>
        <w:t xml:space="preserve"> Olmak-7 </w:t>
      </w:r>
      <w:r w:rsidR="00B82727" w:rsidRPr="00E97E0B">
        <w:rPr>
          <w:rFonts w:ascii="Times New Roman" w:eastAsia="Calibri" w:hAnsi="Times New Roman" w:cs="Times New Roman"/>
          <w:sz w:val="24"/>
          <w:szCs w:val="24"/>
        </w:rPr>
        <w:t>içinde,</w:t>
      </w:r>
      <w:r w:rsidR="00930A0A" w:rsidRPr="00E97E0B">
        <w:rPr>
          <w:rFonts w:ascii="Times New Roman" w:eastAsia="Calibri" w:hAnsi="Times New Roman" w:cs="Times New Roman"/>
          <w:sz w:val="24"/>
          <w:szCs w:val="24"/>
        </w:rPr>
        <w:t xml:space="preserve"> </w:t>
      </w:r>
      <w:r w:rsidR="00930A0A" w:rsidRPr="00E97E0B">
        <w:rPr>
          <w:rFonts w:ascii="Times New Roman" w:eastAsia="Calibri" w:hAnsi="Times New Roman" w:cs="Times New Roman"/>
          <w:sz w:val="24"/>
          <w:szCs w:val="24"/>
          <w:lang w:val="en-US"/>
        </w:rPr>
        <w:t>Cumhurbaşkanlığı Yayınları,</w:t>
      </w:r>
      <w:r w:rsidR="00930A0A" w:rsidRPr="00E97E0B">
        <w:rPr>
          <w:rFonts w:ascii="Times New Roman" w:eastAsia="Calibri" w:hAnsi="Times New Roman" w:cs="Times New Roman"/>
          <w:sz w:val="24"/>
          <w:szCs w:val="24"/>
        </w:rPr>
        <w:t xml:space="preserve"> 2019.</w:t>
      </w:r>
    </w:p>
    <w:p w14:paraId="4239194A" w14:textId="57B178AE" w:rsidR="00F96C7E"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930A0A" w:rsidRPr="00E97E0B">
        <w:rPr>
          <w:rFonts w:ascii="Times New Roman" w:eastAsia="Calibri" w:hAnsi="Times New Roman" w:cs="Times New Roman"/>
          <w:sz w:val="24"/>
          <w:szCs w:val="24"/>
        </w:rPr>
        <w:t>“</w:t>
      </w:r>
      <w:r w:rsidR="00F96C7E" w:rsidRPr="00E97E0B">
        <w:rPr>
          <w:rFonts w:ascii="Times New Roman" w:eastAsia="Calibri" w:hAnsi="Times New Roman" w:cs="Times New Roman"/>
          <w:sz w:val="24"/>
          <w:szCs w:val="24"/>
        </w:rPr>
        <w:t>İstanbul–İzmir–Diyarbakır Projeleri Basın Toplantısı, İstanbul</w:t>
      </w:r>
      <w:r w:rsidR="00796082" w:rsidRPr="00E97E0B">
        <w:rPr>
          <w:rFonts w:ascii="Times New Roman" w:eastAsia="Calibri" w:hAnsi="Times New Roman" w:cs="Times New Roman"/>
          <w:sz w:val="24"/>
          <w:szCs w:val="24"/>
        </w:rPr>
        <w:t xml:space="preserve">, </w:t>
      </w:r>
      <w:r w:rsidR="00F96C7E" w:rsidRPr="00E97E0B">
        <w:rPr>
          <w:rFonts w:ascii="Times New Roman" w:eastAsia="Calibri" w:hAnsi="Times New Roman" w:cs="Times New Roman"/>
          <w:sz w:val="24"/>
          <w:szCs w:val="24"/>
        </w:rPr>
        <w:t>1 Haziran 2011.</w:t>
      </w:r>
      <w:r w:rsidR="00930A0A"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i/>
          <w:iCs/>
          <w:sz w:val="24"/>
          <w:szCs w:val="24"/>
        </w:rPr>
        <w:t xml:space="preserve">Yeni Türkiye Vizyonu Efendi Değil </w:t>
      </w:r>
      <w:r w:rsidR="00881AEA" w:rsidRPr="00E97E0B">
        <w:rPr>
          <w:rFonts w:ascii="Times New Roman" w:eastAsia="Calibri" w:hAnsi="Times New Roman" w:cs="Times New Roman"/>
          <w:i/>
          <w:iCs/>
          <w:sz w:val="24"/>
          <w:szCs w:val="24"/>
        </w:rPr>
        <w:t>Hizmetkâr</w:t>
      </w:r>
      <w:r w:rsidR="00B82727" w:rsidRPr="00E97E0B">
        <w:rPr>
          <w:rFonts w:ascii="Times New Roman" w:eastAsia="Calibri" w:hAnsi="Times New Roman" w:cs="Times New Roman"/>
          <w:i/>
          <w:iCs/>
          <w:sz w:val="24"/>
          <w:szCs w:val="24"/>
        </w:rPr>
        <w:t xml:space="preserve"> Olmak-7 </w:t>
      </w:r>
      <w:r w:rsidR="00B82727" w:rsidRPr="00E97E0B">
        <w:rPr>
          <w:rFonts w:ascii="Times New Roman" w:eastAsia="Calibri" w:hAnsi="Times New Roman" w:cs="Times New Roman"/>
          <w:sz w:val="24"/>
          <w:szCs w:val="24"/>
        </w:rPr>
        <w:t xml:space="preserve">içinde, </w:t>
      </w:r>
      <w:r w:rsidR="00930A0A" w:rsidRPr="00E97E0B">
        <w:rPr>
          <w:rFonts w:ascii="Times New Roman" w:eastAsia="Calibri" w:hAnsi="Times New Roman" w:cs="Times New Roman"/>
          <w:sz w:val="24"/>
          <w:szCs w:val="24"/>
          <w:lang w:val="en-US"/>
        </w:rPr>
        <w:t>Cumhurbaşkanlığı Yayınları,</w:t>
      </w:r>
      <w:r w:rsidR="00930A0A" w:rsidRPr="00E97E0B">
        <w:rPr>
          <w:rFonts w:ascii="Times New Roman" w:eastAsia="Calibri" w:hAnsi="Times New Roman" w:cs="Times New Roman"/>
          <w:sz w:val="24"/>
          <w:szCs w:val="24"/>
        </w:rPr>
        <w:t xml:space="preserve"> 2019.</w:t>
      </w:r>
      <w:r w:rsidR="00F96C7E" w:rsidRPr="00E97E0B">
        <w:rPr>
          <w:rFonts w:ascii="Times New Roman" w:eastAsia="Calibri" w:hAnsi="Times New Roman" w:cs="Times New Roman"/>
          <w:sz w:val="24"/>
          <w:szCs w:val="24"/>
        </w:rPr>
        <w:t xml:space="preserve"> </w:t>
      </w:r>
    </w:p>
    <w:p w14:paraId="238C0E44" w14:textId="26FF9904" w:rsidR="00F96C7E"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7732D1" w:rsidRPr="00E97E0B">
        <w:rPr>
          <w:rFonts w:ascii="Times New Roman" w:eastAsia="Calibri" w:hAnsi="Times New Roman" w:cs="Times New Roman"/>
          <w:sz w:val="24"/>
          <w:szCs w:val="24"/>
        </w:rPr>
        <w:t>“</w:t>
      </w:r>
      <w:r w:rsidR="00F96C7E" w:rsidRPr="00E97E0B">
        <w:rPr>
          <w:rFonts w:ascii="Times New Roman" w:eastAsia="Calibri" w:hAnsi="Times New Roman" w:cs="Times New Roman"/>
          <w:sz w:val="24"/>
          <w:szCs w:val="24"/>
        </w:rPr>
        <w:t>İstanbul, Tüm Sanayici ve İşadamları Derneği (TÜMSİAD) 4. Olağan Genel Kurulu, 29 Nisan 2011.</w:t>
      </w:r>
      <w:r w:rsidR="007732D1" w:rsidRPr="00E97E0B">
        <w:rPr>
          <w:rFonts w:ascii="Times New Roman" w:eastAsia="Calibri" w:hAnsi="Times New Roman" w:cs="Times New Roman"/>
          <w:sz w:val="24"/>
          <w:szCs w:val="24"/>
        </w:rPr>
        <w:t>”</w:t>
      </w:r>
      <w:r w:rsidR="00B82727" w:rsidRPr="00E97E0B">
        <w:rPr>
          <w:rFonts w:ascii="Times New Roman" w:eastAsia="Calibri" w:hAnsi="Times New Roman" w:cs="Times New Roman"/>
          <w:i/>
          <w:iCs/>
          <w:sz w:val="24"/>
          <w:szCs w:val="24"/>
        </w:rPr>
        <w:t xml:space="preserve"> Yeni Türkiye Vizyonu Efendi Değil </w:t>
      </w:r>
      <w:r w:rsidR="00881AEA" w:rsidRPr="00E97E0B">
        <w:rPr>
          <w:rFonts w:ascii="Times New Roman" w:eastAsia="Calibri" w:hAnsi="Times New Roman" w:cs="Times New Roman"/>
          <w:i/>
          <w:iCs/>
          <w:sz w:val="24"/>
          <w:szCs w:val="24"/>
        </w:rPr>
        <w:t>Hizmetkâr</w:t>
      </w:r>
      <w:r w:rsidR="00B82727" w:rsidRPr="00E97E0B">
        <w:rPr>
          <w:rFonts w:ascii="Times New Roman" w:eastAsia="Calibri" w:hAnsi="Times New Roman" w:cs="Times New Roman"/>
          <w:i/>
          <w:iCs/>
          <w:sz w:val="24"/>
          <w:szCs w:val="24"/>
        </w:rPr>
        <w:t xml:space="preserve"> Olmak-7</w:t>
      </w:r>
      <w:r w:rsidR="00B82727" w:rsidRPr="00E97E0B">
        <w:rPr>
          <w:rFonts w:ascii="Times New Roman" w:eastAsia="Calibri" w:hAnsi="Times New Roman" w:cs="Times New Roman"/>
          <w:sz w:val="24"/>
          <w:szCs w:val="24"/>
        </w:rPr>
        <w:t xml:space="preserve"> içinde,</w:t>
      </w:r>
      <w:r w:rsidR="007732D1" w:rsidRPr="00E97E0B">
        <w:rPr>
          <w:rFonts w:ascii="Times New Roman" w:eastAsia="Calibri" w:hAnsi="Times New Roman" w:cs="Times New Roman"/>
          <w:sz w:val="24"/>
          <w:szCs w:val="24"/>
        </w:rPr>
        <w:t xml:space="preserve"> </w:t>
      </w:r>
      <w:r w:rsidR="007732D1" w:rsidRPr="00E97E0B">
        <w:rPr>
          <w:rFonts w:ascii="Times New Roman" w:eastAsia="Calibri" w:hAnsi="Times New Roman" w:cs="Times New Roman"/>
          <w:sz w:val="24"/>
          <w:szCs w:val="24"/>
          <w:lang w:val="en-US"/>
        </w:rPr>
        <w:t>Cumhurbaşkanlığı Yayınları,</w:t>
      </w:r>
      <w:r w:rsidR="007732D1" w:rsidRPr="00E97E0B">
        <w:rPr>
          <w:rFonts w:ascii="Times New Roman" w:eastAsia="Calibri" w:hAnsi="Times New Roman" w:cs="Times New Roman"/>
          <w:sz w:val="24"/>
          <w:szCs w:val="24"/>
        </w:rPr>
        <w:t xml:space="preserve"> 2019.</w:t>
      </w:r>
    </w:p>
    <w:p w14:paraId="55AE4C80" w14:textId="7A32B836" w:rsidR="00AE2679"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AE2679" w:rsidRPr="00E97E0B">
        <w:rPr>
          <w:rFonts w:ascii="Times New Roman" w:eastAsia="Calibri" w:hAnsi="Times New Roman" w:cs="Times New Roman"/>
          <w:sz w:val="24"/>
          <w:szCs w:val="24"/>
        </w:rPr>
        <w:t xml:space="preserve">“Milletvekilleri ile Gündem Toplantısı 3 Ağustos 2009 Ankara.” </w:t>
      </w:r>
      <w:r w:rsidR="00AE2679" w:rsidRPr="00E97E0B">
        <w:rPr>
          <w:rFonts w:ascii="Times New Roman" w:eastAsia="Calibri" w:hAnsi="Times New Roman" w:cs="Times New Roman"/>
          <w:i/>
          <w:iCs/>
          <w:sz w:val="24"/>
          <w:szCs w:val="24"/>
        </w:rPr>
        <w:t>Beraber Yürüdük Biz Bu Yollarda-6</w:t>
      </w:r>
      <w:r w:rsidR="00AE2679" w:rsidRPr="00E97E0B">
        <w:rPr>
          <w:rFonts w:ascii="Times New Roman" w:eastAsia="Calibri" w:hAnsi="Times New Roman" w:cs="Times New Roman"/>
          <w:sz w:val="24"/>
          <w:szCs w:val="24"/>
        </w:rPr>
        <w:t xml:space="preserve"> içinde, </w:t>
      </w:r>
      <w:r w:rsidR="00AE2679" w:rsidRPr="00E97E0B">
        <w:rPr>
          <w:rFonts w:ascii="Times New Roman" w:eastAsia="Calibri" w:hAnsi="Times New Roman" w:cs="Times New Roman"/>
          <w:i/>
          <w:sz w:val="24"/>
          <w:szCs w:val="24"/>
        </w:rPr>
        <w:t>Yeni Türkiye Vizyonu</w:t>
      </w:r>
      <w:r w:rsidR="00AE2679" w:rsidRPr="00E97E0B">
        <w:rPr>
          <w:rFonts w:ascii="Times New Roman" w:eastAsia="Calibri" w:hAnsi="Times New Roman" w:cs="Times New Roman"/>
          <w:sz w:val="24"/>
          <w:szCs w:val="24"/>
        </w:rPr>
        <w:t xml:space="preserve">, </w:t>
      </w:r>
      <w:r w:rsidR="00AE2679" w:rsidRPr="00E97E0B">
        <w:rPr>
          <w:rFonts w:ascii="Times New Roman" w:eastAsia="Calibri" w:hAnsi="Times New Roman" w:cs="Times New Roman"/>
          <w:sz w:val="24"/>
          <w:szCs w:val="24"/>
          <w:lang w:val="en-US"/>
        </w:rPr>
        <w:t>Cumhurbaşkanlığı Yayınları,</w:t>
      </w:r>
      <w:r w:rsidR="00AE2679" w:rsidRPr="00E97E0B">
        <w:rPr>
          <w:rFonts w:ascii="Times New Roman" w:eastAsia="Calibri" w:hAnsi="Times New Roman" w:cs="Times New Roman"/>
          <w:sz w:val="24"/>
          <w:szCs w:val="24"/>
        </w:rPr>
        <w:t xml:space="preserve"> 2019.</w:t>
      </w:r>
    </w:p>
    <w:p w14:paraId="4F0C0D23" w14:textId="67AB372D" w:rsidR="00F96C7E"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7732D1" w:rsidRPr="00E97E0B">
        <w:rPr>
          <w:rFonts w:ascii="Times New Roman" w:eastAsia="Calibri" w:hAnsi="Times New Roman" w:cs="Times New Roman"/>
          <w:sz w:val="24"/>
          <w:szCs w:val="24"/>
        </w:rPr>
        <w:t>“</w:t>
      </w:r>
      <w:r w:rsidR="00F96C7E" w:rsidRPr="00E97E0B">
        <w:rPr>
          <w:rFonts w:ascii="Times New Roman" w:eastAsia="Calibri" w:hAnsi="Times New Roman" w:cs="Times New Roman"/>
          <w:sz w:val="24"/>
          <w:szCs w:val="24"/>
        </w:rPr>
        <w:t>MÜSİAD 21. Genel Kurulu, İstanbul, İstanbul</w:t>
      </w:r>
      <w:r w:rsidR="00796082" w:rsidRPr="00E97E0B">
        <w:rPr>
          <w:rFonts w:ascii="Times New Roman" w:eastAsia="Calibri" w:hAnsi="Times New Roman" w:cs="Times New Roman"/>
          <w:sz w:val="24"/>
          <w:szCs w:val="24"/>
        </w:rPr>
        <w:t xml:space="preserve">, </w:t>
      </w:r>
      <w:r w:rsidR="00F96C7E" w:rsidRPr="00E97E0B">
        <w:rPr>
          <w:rFonts w:ascii="Times New Roman" w:eastAsia="Calibri" w:hAnsi="Times New Roman" w:cs="Times New Roman"/>
          <w:sz w:val="24"/>
          <w:szCs w:val="24"/>
        </w:rPr>
        <w:t>28 Nisan 2012.</w:t>
      </w:r>
      <w:r w:rsidR="007732D1" w:rsidRPr="00E97E0B">
        <w:rPr>
          <w:rFonts w:ascii="Times New Roman" w:eastAsia="Calibri" w:hAnsi="Times New Roman" w:cs="Times New Roman"/>
          <w:sz w:val="24"/>
          <w:szCs w:val="24"/>
        </w:rPr>
        <w:t>”</w:t>
      </w:r>
      <w:r w:rsidR="00F96C7E"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sz w:val="24"/>
          <w:szCs w:val="24"/>
        </w:rPr>
        <w:t>“</w:t>
      </w:r>
      <w:r w:rsidR="00B82727" w:rsidRPr="00E97E0B">
        <w:rPr>
          <w:rFonts w:ascii="Times New Roman" w:eastAsia="Calibri" w:hAnsi="Times New Roman" w:cs="Times New Roman"/>
          <w:i/>
          <w:iCs/>
          <w:sz w:val="24"/>
          <w:szCs w:val="24"/>
        </w:rPr>
        <w:t xml:space="preserve">Yeni Türkiye Vizyonu Efendi Değil </w:t>
      </w:r>
      <w:r w:rsidR="00881AEA" w:rsidRPr="00E97E0B">
        <w:rPr>
          <w:rFonts w:ascii="Times New Roman" w:eastAsia="Calibri" w:hAnsi="Times New Roman" w:cs="Times New Roman"/>
          <w:i/>
          <w:iCs/>
          <w:sz w:val="24"/>
          <w:szCs w:val="24"/>
        </w:rPr>
        <w:t>Hizmetkâr</w:t>
      </w:r>
      <w:r w:rsidR="00B82727" w:rsidRPr="00E97E0B">
        <w:rPr>
          <w:rFonts w:ascii="Times New Roman" w:eastAsia="Calibri" w:hAnsi="Times New Roman" w:cs="Times New Roman"/>
          <w:i/>
          <w:iCs/>
          <w:sz w:val="24"/>
          <w:szCs w:val="24"/>
        </w:rPr>
        <w:t xml:space="preserve"> Olmak-7 </w:t>
      </w:r>
      <w:r w:rsidR="00B82727" w:rsidRPr="00E97E0B">
        <w:rPr>
          <w:rFonts w:ascii="Times New Roman" w:eastAsia="Calibri" w:hAnsi="Times New Roman" w:cs="Times New Roman"/>
          <w:sz w:val="24"/>
          <w:szCs w:val="24"/>
        </w:rPr>
        <w:t>içinde</w:t>
      </w:r>
      <w:r w:rsidR="00B82727" w:rsidRPr="00E97E0B">
        <w:rPr>
          <w:rFonts w:ascii="Times New Roman" w:eastAsia="Calibri" w:hAnsi="Times New Roman" w:cs="Times New Roman"/>
          <w:i/>
          <w:iCs/>
          <w:sz w:val="24"/>
          <w:szCs w:val="24"/>
        </w:rPr>
        <w:t xml:space="preserve">, </w:t>
      </w:r>
      <w:r w:rsidR="007732D1" w:rsidRPr="00E97E0B">
        <w:rPr>
          <w:rFonts w:ascii="Times New Roman" w:eastAsia="Calibri" w:hAnsi="Times New Roman" w:cs="Times New Roman"/>
          <w:sz w:val="24"/>
          <w:szCs w:val="24"/>
          <w:lang w:val="en-US"/>
        </w:rPr>
        <w:t>Cumhurbaşkanlığı Yayınları,</w:t>
      </w:r>
      <w:r w:rsidR="007732D1" w:rsidRPr="00E97E0B">
        <w:rPr>
          <w:rFonts w:ascii="Times New Roman" w:eastAsia="Calibri" w:hAnsi="Times New Roman" w:cs="Times New Roman"/>
          <w:sz w:val="24"/>
          <w:szCs w:val="24"/>
        </w:rPr>
        <w:t xml:space="preserve"> 2019.</w:t>
      </w:r>
    </w:p>
    <w:p w14:paraId="47D89754" w14:textId="30F65CA9" w:rsidR="00F96C7E" w:rsidRPr="00E97E0B" w:rsidRDefault="000802EE" w:rsidP="00F96C7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7732D1" w:rsidRPr="00E97E0B">
        <w:rPr>
          <w:rFonts w:ascii="Times New Roman" w:eastAsia="Calibri" w:hAnsi="Times New Roman" w:cs="Times New Roman"/>
          <w:sz w:val="24"/>
          <w:szCs w:val="24"/>
        </w:rPr>
        <w:t>“</w:t>
      </w:r>
      <w:r w:rsidR="00F96C7E" w:rsidRPr="00E97E0B">
        <w:rPr>
          <w:rFonts w:ascii="Times New Roman" w:eastAsia="Calibri" w:hAnsi="Times New Roman" w:cs="Times New Roman"/>
          <w:sz w:val="24"/>
          <w:szCs w:val="24"/>
        </w:rPr>
        <w:t>TOBB 67. Genel Kurulu, Ankara, 20 Mayıs 2012.</w:t>
      </w:r>
      <w:r w:rsidR="007732D1" w:rsidRPr="00E97E0B">
        <w:rPr>
          <w:rFonts w:ascii="Times New Roman" w:eastAsia="Calibri" w:hAnsi="Times New Roman" w:cs="Times New Roman"/>
          <w:sz w:val="24"/>
          <w:szCs w:val="24"/>
        </w:rPr>
        <w:t xml:space="preserve">” </w:t>
      </w:r>
      <w:r w:rsidR="00B82727" w:rsidRPr="00E97E0B">
        <w:rPr>
          <w:rFonts w:ascii="Times New Roman" w:eastAsia="Calibri" w:hAnsi="Times New Roman" w:cs="Times New Roman"/>
          <w:i/>
          <w:iCs/>
          <w:sz w:val="24"/>
          <w:szCs w:val="24"/>
        </w:rPr>
        <w:t xml:space="preserve">Yeni Türkiye Vizyonu Efendi Değil </w:t>
      </w:r>
      <w:r w:rsidR="00881AEA" w:rsidRPr="00E97E0B">
        <w:rPr>
          <w:rFonts w:ascii="Times New Roman" w:eastAsia="Calibri" w:hAnsi="Times New Roman" w:cs="Times New Roman"/>
          <w:i/>
          <w:iCs/>
          <w:sz w:val="24"/>
          <w:szCs w:val="24"/>
        </w:rPr>
        <w:t>Hizmetkâr</w:t>
      </w:r>
      <w:r w:rsidR="00B82727" w:rsidRPr="00E97E0B">
        <w:rPr>
          <w:rFonts w:ascii="Times New Roman" w:eastAsia="Calibri" w:hAnsi="Times New Roman" w:cs="Times New Roman"/>
          <w:i/>
          <w:iCs/>
          <w:sz w:val="24"/>
          <w:szCs w:val="24"/>
        </w:rPr>
        <w:t xml:space="preserve"> Olmak-7 </w:t>
      </w:r>
      <w:r w:rsidR="00B82727" w:rsidRPr="00E97E0B">
        <w:rPr>
          <w:rFonts w:ascii="Times New Roman" w:eastAsia="Calibri" w:hAnsi="Times New Roman" w:cs="Times New Roman"/>
          <w:sz w:val="24"/>
          <w:szCs w:val="24"/>
        </w:rPr>
        <w:t xml:space="preserve">içinde, </w:t>
      </w:r>
      <w:r w:rsidR="007732D1" w:rsidRPr="00E97E0B">
        <w:rPr>
          <w:rFonts w:ascii="Times New Roman" w:eastAsia="Calibri" w:hAnsi="Times New Roman" w:cs="Times New Roman"/>
          <w:sz w:val="24"/>
          <w:szCs w:val="24"/>
          <w:lang w:val="en-US"/>
        </w:rPr>
        <w:t>Cumhurbaşkanlığı Yayınları,</w:t>
      </w:r>
      <w:r w:rsidR="007732D1" w:rsidRPr="00E97E0B">
        <w:rPr>
          <w:rFonts w:ascii="Times New Roman" w:eastAsia="Calibri" w:hAnsi="Times New Roman" w:cs="Times New Roman"/>
          <w:sz w:val="24"/>
          <w:szCs w:val="24"/>
        </w:rPr>
        <w:t xml:space="preserve"> 2019.</w:t>
      </w:r>
    </w:p>
    <w:p w14:paraId="34011D83" w14:textId="0990AC8D" w:rsidR="00AE2679" w:rsidRPr="00E97E0B" w:rsidRDefault="000802EE" w:rsidP="00AE2679">
      <w:pPr>
        <w:spacing w:before="120" w:after="120" w:line="240" w:lineRule="auto"/>
        <w:jc w:val="both"/>
        <w:rPr>
          <w:rFonts w:ascii="Ü]ƒÕ˛" w:eastAsia="Calibri" w:hAnsi="Ü]ƒÕ˛" w:cs="Ü]ƒÕ˛"/>
          <w:sz w:val="24"/>
          <w:szCs w:val="24"/>
          <w:lang w:val="en-US"/>
        </w:rPr>
      </w:pPr>
      <w:r w:rsidRPr="00E97E0B">
        <w:rPr>
          <w:rFonts w:ascii="Times New Roman" w:eastAsia="Calibri" w:hAnsi="Times New Roman" w:cs="Times New Roman"/>
          <w:sz w:val="24"/>
          <w:szCs w:val="24"/>
        </w:rPr>
        <w:t xml:space="preserve">___________. </w:t>
      </w:r>
      <w:r w:rsidR="00AE2679" w:rsidRPr="00E97E0B">
        <w:rPr>
          <w:rFonts w:ascii="Times New Roman" w:eastAsia="Calibri" w:hAnsi="Times New Roman" w:cs="Times New Roman"/>
          <w:sz w:val="24"/>
          <w:szCs w:val="24"/>
        </w:rPr>
        <w:t>“</w:t>
      </w:r>
      <w:r w:rsidR="00AE2679" w:rsidRPr="00E97E0B">
        <w:rPr>
          <w:rFonts w:ascii="Times New Roman" w:eastAsia="Calibri" w:hAnsi="Times New Roman" w:cs="Times New Roman"/>
          <w:sz w:val="24"/>
          <w:szCs w:val="24"/>
          <w:lang w:val="en-US"/>
        </w:rPr>
        <w:t xml:space="preserve">“Yeni Anayasa İçin Hep Birlikte” Temalı Program, Ankara, 28 Ocak 2016.” </w:t>
      </w:r>
      <w:r w:rsidR="00AE2679" w:rsidRPr="00E97E0B">
        <w:rPr>
          <w:rFonts w:ascii="Times New Roman" w:eastAsia="Calibri" w:hAnsi="Times New Roman" w:cs="Times New Roman"/>
          <w:i/>
          <w:iCs/>
          <w:sz w:val="24"/>
          <w:szCs w:val="24"/>
          <w:lang w:val="en-US"/>
        </w:rPr>
        <w:t>2023’e Doğru</w:t>
      </w:r>
      <w:r w:rsidR="00AE2679" w:rsidRPr="00E97E0B">
        <w:rPr>
          <w:rFonts w:ascii="Times New Roman" w:eastAsia="Calibri" w:hAnsi="Times New Roman" w:cs="Times New Roman"/>
          <w:i/>
          <w:iCs/>
          <w:sz w:val="24"/>
          <w:szCs w:val="24"/>
        </w:rPr>
        <w:t xml:space="preserve"> Yeni Türkiye Vizyonu</w:t>
      </w:r>
      <w:r w:rsidR="00AE2679" w:rsidRPr="00E97E0B">
        <w:rPr>
          <w:rFonts w:ascii="Times New Roman" w:eastAsia="Calibri" w:hAnsi="Times New Roman" w:cs="Times New Roman"/>
          <w:i/>
          <w:iCs/>
          <w:sz w:val="24"/>
          <w:szCs w:val="24"/>
          <w:lang w:val="en-US"/>
        </w:rPr>
        <w:t xml:space="preserve"> 2. Cilt </w:t>
      </w:r>
      <w:r w:rsidR="00AE2679" w:rsidRPr="00E97E0B">
        <w:rPr>
          <w:rFonts w:ascii="Times New Roman" w:eastAsia="Calibri" w:hAnsi="Times New Roman" w:cs="Times New Roman"/>
          <w:sz w:val="24"/>
          <w:szCs w:val="24"/>
          <w:lang w:val="en-US"/>
        </w:rPr>
        <w:t xml:space="preserve">içinde, Cumhurbaşkanlığı Yayınları. 2018. </w:t>
      </w:r>
    </w:p>
    <w:p w14:paraId="1B16DD65" w14:textId="6376A157"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Ter-Matevosyan</w:t>
      </w:r>
      <w:r w:rsidR="008674B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Vahram</w:t>
      </w:r>
      <w:r w:rsidR="008674B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“The Armenian Community and the AK Party: Finding Trust under the Crescent,” </w:t>
      </w:r>
      <w:r w:rsidRPr="00E97E0B">
        <w:rPr>
          <w:rFonts w:ascii="Times New Roman" w:eastAsia="Calibri" w:hAnsi="Times New Roman" w:cs="Times New Roman"/>
          <w:i/>
          <w:iCs/>
          <w:sz w:val="24"/>
          <w:szCs w:val="24"/>
        </w:rPr>
        <w:t>Insight Turkey</w:t>
      </w:r>
      <w:r w:rsidRPr="00E97E0B">
        <w:rPr>
          <w:rFonts w:ascii="Times New Roman" w:eastAsia="Calibri" w:hAnsi="Times New Roman" w:cs="Times New Roman"/>
          <w:sz w:val="24"/>
          <w:szCs w:val="24"/>
        </w:rPr>
        <w:t>, C. 12, S. 4, Fall 2010.</w:t>
      </w:r>
    </w:p>
    <w:p w14:paraId="573836B2" w14:textId="33986C24"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Tesich, Steve</w:t>
      </w:r>
      <w:r w:rsidR="008674B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“Yalanlar Rejimi</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Hakikat Sonrası sayısı</w:t>
      </w:r>
      <w:r w:rsidRPr="00E97E0B">
        <w:rPr>
          <w:rFonts w:ascii="Times New Roman" w:eastAsia="Calibri" w:hAnsi="Times New Roman" w:cs="Times New Roman"/>
          <w:sz w:val="24"/>
          <w:szCs w:val="24"/>
        </w:rPr>
        <w:t xml:space="preserve"> içinde, </w:t>
      </w:r>
      <w:r w:rsidRPr="00E97E0B">
        <w:rPr>
          <w:rFonts w:ascii="Times New Roman" w:eastAsia="Calibri" w:hAnsi="Times New Roman" w:cs="Times New Roman"/>
          <w:i/>
          <w:iCs/>
          <w:sz w:val="24"/>
          <w:szCs w:val="24"/>
        </w:rPr>
        <w:t>Cogito</w:t>
      </w:r>
      <w:r w:rsidRPr="00E97E0B">
        <w:rPr>
          <w:rFonts w:ascii="Times New Roman" w:eastAsia="Calibri" w:hAnsi="Times New Roman" w:cs="Times New Roman"/>
          <w:sz w:val="24"/>
          <w:szCs w:val="24"/>
        </w:rPr>
        <w:t>, S. 104, İstanbul, 2021.</w:t>
      </w:r>
    </w:p>
    <w:p w14:paraId="22971DB0" w14:textId="1195D73F"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The Jewish Federation of Greater Los Angeles’ Principles Against Antisemitism,</w:t>
      </w:r>
      <w:r w:rsidR="00923FDA" w:rsidRPr="00E97E0B">
        <w:rPr>
          <w:rFonts w:ascii="Times New Roman" w:eastAsia="Calibri" w:hAnsi="Times New Roman" w:cs="Times New Roman"/>
          <w:sz w:val="24"/>
          <w:szCs w:val="24"/>
        </w:rPr>
        <w:t xml:space="preserve"> The Jewish Federation of Greater Los Angeles,’</w:t>
      </w:r>
      <w:r w:rsidR="00584B31" w:rsidRPr="00E97E0B">
        <w:rPr>
          <w:rFonts w:ascii="Times New Roman" w:eastAsia="Calibri" w:hAnsi="Times New Roman" w:cs="Times New Roman"/>
          <w:sz w:val="24"/>
          <w:szCs w:val="24"/>
        </w:rPr>
        <w:t xml:space="preserve"> [Erişim: 22.02.2022],</w:t>
      </w:r>
      <w:r w:rsidRPr="00E97E0B">
        <w:rPr>
          <w:rFonts w:ascii="Times New Roman" w:eastAsia="Calibri" w:hAnsi="Times New Roman" w:cs="Times New Roman"/>
          <w:sz w:val="24"/>
          <w:szCs w:val="24"/>
        </w:rPr>
        <w:t xml:space="preserve"> https://www.jewishla.org/principles-against-antisemitism/ </w:t>
      </w:r>
    </w:p>
    <w:p w14:paraId="66C8623B" w14:textId="62CF5694" w:rsidR="00A93BE5" w:rsidRPr="00E97E0B" w:rsidRDefault="00A93BE5"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The World Bank, </w:t>
      </w:r>
      <w:r w:rsidR="000B43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Population, Total </w:t>
      </w:r>
      <w:r w:rsidR="000B43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Turkiye,</w:t>
      </w:r>
      <w:r w:rsidR="000B4377"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[Erişim: 10.11.2022], https://data.worldbank.org/indicator/SP.POP.TOTL?end=2021&amp;locations=TR&amp;start=2007</w:t>
      </w:r>
    </w:p>
    <w:p w14:paraId="1A5AA64E" w14:textId="2EC7BBC3"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Tiberj</w:t>
      </w:r>
      <w:r w:rsidR="00A14CF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Vincent</w:t>
      </w:r>
      <w:r w:rsidR="00A14CF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“La politique des deux axes: Variables sociologiques, valeurs et votes en France (1988-2007).” </w:t>
      </w:r>
      <w:r w:rsidRPr="00E97E0B">
        <w:rPr>
          <w:rFonts w:ascii="Times New Roman" w:eastAsia="Calibri" w:hAnsi="Times New Roman" w:cs="Times New Roman"/>
          <w:i/>
          <w:iCs/>
          <w:sz w:val="24"/>
          <w:szCs w:val="24"/>
        </w:rPr>
        <w:t>Revue Française de Science Politique</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xml:space="preserve"> 62, S. 1 2012.</w:t>
      </w:r>
    </w:p>
    <w:p w14:paraId="22AACF1C" w14:textId="33ACC09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Tol</w:t>
      </w:r>
      <w:r w:rsidR="00A14CF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Ulaş</w:t>
      </w:r>
      <w:r w:rsidR="00A14CFA" w:rsidRPr="00E97E0B">
        <w:rPr>
          <w:rFonts w:ascii="Times New Roman" w:eastAsia="Calibri" w:hAnsi="Times New Roman" w:cs="Times New Roman"/>
          <w:i/>
          <w:iCs/>
          <w:sz w:val="24"/>
          <w:szCs w:val="24"/>
        </w:rPr>
        <w:t>.</w:t>
      </w:r>
      <w:r w:rsidRPr="00E97E0B">
        <w:rPr>
          <w:rFonts w:ascii="Times New Roman" w:eastAsia="Calibri" w:hAnsi="Times New Roman" w:cs="Times New Roman"/>
          <w:i/>
          <w:iCs/>
          <w:sz w:val="24"/>
          <w:szCs w:val="24"/>
        </w:rPr>
        <w:t xml:space="preserve"> Kentsel Alevilik ve Alevi Gençlerin Kimlik Arayışı</w:t>
      </w:r>
      <w:r w:rsidRPr="00E97E0B">
        <w:rPr>
          <w:rFonts w:ascii="Times New Roman" w:eastAsia="Calibri" w:hAnsi="Times New Roman" w:cs="Times New Roman"/>
          <w:sz w:val="24"/>
          <w:szCs w:val="24"/>
        </w:rPr>
        <w:t>, PODEM İstanbul Gençlik Haritası Serisi: Ankara, 2016.</w:t>
      </w:r>
    </w:p>
    <w:p w14:paraId="0DD837AC" w14:textId="331AB98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Tomak</w:t>
      </w:r>
      <w:r w:rsidR="00A14CF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Ali</w:t>
      </w:r>
      <w:r w:rsidR="00CA1852" w:rsidRPr="00E97E0B">
        <w:rPr>
          <w:rFonts w:ascii="Times New Roman" w:eastAsia="Calibri" w:hAnsi="Times New Roman" w:cs="Times New Roman"/>
          <w:sz w:val="24"/>
          <w:szCs w:val="24"/>
        </w:rPr>
        <w:t>, Ali Seylan, Tarık Yazar</w:t>
      </w:r>
      <w:r w:rsidR="00CF06DF" w:rsidRPr="00E97E0B">
        <w:rPr>
          <w:rFonts w:ascii="Times New Roman" w:eastAsia="Calibri" w:hAnsi="Times New Roman" w:cs="Times New Roman"/>
          <w:sz w:val="24"/>
          <w:szCs w:val="24"/>
        </w:rPr>
        <w:t xml:space="preserve"> ve </w:t>
      </w:r>
      <w:r w:rsidR="00CA1852" w:rsidRPr="00E97E0B">
        <w:rPr>
          <w:rFonts w:ascii="Times New Roman" w:eastAsia="Calibri" w:hAnsi="Times New Roman" w:cs="Times New Roman"/>
          <w:sz w:val="24"/>
          <w:szCs w:val="24"/>
        </w:rPr>
        <w:t>Abdülkerim Turkaya.</w:t>
      </w:r>
      <w:r w:rsidRPr="00E97E0B">
        <w:rPr>
          <w:rFonts w:ascii="Times New Roman" w:eastAsia="Calibri" w:hAnsi="Times New Roman" w:cs="Times New Roman"/>
          <w:sz w:val="24"/>
          <w:szCs w:val="24"/>
        </w:rPr>
        <w:t xml:space="preserve"> “Tüketim Çağında Özne-Nesne Diyalektiği ve Anlam</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 xml:space="preserve">Medeniyet Sanat Dergisi,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.1, S.2, Istanbul, 2015.</w:t>
      </w:r>
    </w:p>
    <w:p w14:paraId="376C3C8B" w14:textId="53732C7A" w:rsidR="00283385" w:rsidRPr="00E97E0B" w:rsidRDefault="002858AE" w:rsidP="00283385">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Tonkiss</w:t>
      </w:r>
      <w:r w:rsidR="001F263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Fran</w:t>
      </w:r>
      <w:r w:rsidR="001F263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D767D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Analysis text and speech: content and discourse analysis.</w:t>
      </w:r>
      <w:r w:rsidR="00D767D8" w:rsidRPr="00E97E0B">
        <w:rPr>
          <w:rFonts w:ascii="Times New Roman" w:eastAsia="Calibri" w:hAnsi="Times New Roman" w:cs="Times New Roman"/>
          <w:sz w:val="24"/>
          <w:szCs w:val="24"/>
        </w:rPr>
        <w:t>”</w:t>
      </w:r>
      <w:r w:rsidRPr="00E97E0B">
        <w:rPr>
          <w:rFonts w:ascii="Times New Roman" w:eastAsia="Calibri" w:hAnsi="Times New Roman" w:cs="Times New Roman"/>
          <w:i/>
          <w:iCs/>
          <w:sz w:val="24"/>
          <w:szCs w:val="24"/>
        </w:rPr>
        <w:t xml:space="preserve"> </w:t>
      </w:r>
      <w:r w:rsidRPr="00E97E0B">
        <w:rPr>
          <w:rFonts w:ascii="Times New Roman" w:eastAsia="Calibri" w:hAnsi="Times New Roman" w:cs="Times New Roman"/>
          <w:sz w:val="24"/>
          <w:szCs w:val="24"/>
        </w:rPr>
        <w:t xml:space="preserve">C. Seale, 2. bs, </w:t>
      </w:r>
      <w:r w:rsidRPr="00E97E0B">
        <w:rPr>
          <w:rFonts w:ascii="Times New Roman" w:eastAsia="Calibri" w:hAnsi="Times New Roman" w:cs="Times New Roman"/>
          <w:i/>
          <w:iCs/>
          <w:sz w:val="24"/>
          <w:szCs w:val="24"/>
        </w:rPr>
        <w:t>Researching Society and Culture</w:t>
      </w:r>
      <w:r w:rsidRPr="00E97E0B">
        <w:rPr>
          <w:rFonts w:ascii="Times New Roman" w:eastAsia="Calibri" w:hAnsi="Times New Roman" w:cs="Times New Roman"/>
          <w:sz w:val="24"/>
          <w:szCs w:val="24"/>
        </w:rPr>
        <w:t xml:space="preserve"> içinde</w:t>
      </w:r>
      <w:r w:rsidR="00D767D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Lo</w:t>
      </w:r>
      <w:r w:rsidR="00B0130F" w:rsidRPr="00E97E0B">
        <w:rPr>
          <w:rFonts w:ascii="Times New Roman" w:eastAsia="Calibri" w:hAnsi="Times New Roman" w:cs="Times New Roman"/>
          <w:sz w:val="24"/>
          <w:szCs w:val="24"/>
        </w:rPr>
        <w:t>ndon</w:t>
      </w:r>
      <w:r w:rsidRPr="00E97E0B">
        <w:rPr>
          <w:rFonts w:ascii="Times New Roman" w:eastAsia="Calibri" w:hAnsi="Times New Roman" w:cs="Times New Roman"/>
          <w:sz w:val="24"/>
          <w:szCs w:val="24"/>
        </w:rPr>
        <w:t>: Sage, 2006.</w:t>
      </w:r>
    </w:p>
    <w:p w14:paraId="676C6633" w14:textId="3BCEB79B" w:rsidR="008B5FA5" w:rsidRPr="00E97E0B" w:rsidRDefault="00283385" w:rsidP="00283385">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Türkiye İstatistik Kurumu (TÜİK), </w:t>
      </w:r>
      <w:r w:rsidR="0022311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Milletvekili Genel Seçimleri 1923-2011</w:t>
      </w:r>
      <w:r w:rsidR="0022311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Ankara, Haziran 2012.</w:t>
      </w:r>
    </w:p>
    <w:p w14:paraId="366BB3F2" w14:textId="091AA3C3"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Tüzer</w:t>
      </w:r>
      <w:r w:rsidR="001F263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Abdüllatif</w:t>
      </w:r>
      <w:r w:rsidR="001F263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“Postmodernizm ve Tanrı’nın Ölümü: Öznenin Arkeolojisi Üzerine Bir Deneme</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Milel ve Nihal İnanç Kültür ve Mitoloji Araştırmaları Dergisi,</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xml:space="preserve"> 12, S. 2, 2015.</w:t>
      </w:r>
    </w:p>
    <w:p w14:paraId="5E09343F" w14:textId="01064C21" w:rsidR="00E81171" w:rsidRPr="00E97E0B" w:rsidRDefault="00E81171"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T24. “Başbakan'dan muhalefete: Seçim barajını siz niye kaldırmadınız,” 24.04.2011, </w:t>
      </w:r>
      <w:bookmarkStart w:id="293" w:name="_Hlk119354043"/>
      <w:r w:rsidRPr="00E97E0B">
        <w:rPr>
          <w:rFonts w:ascii="Times New Roman" w:eastAsia="Calibri" w:hAnsi="Times New Roman" w:cs="Times New Roman"/>
          <w:sz w:val="24"/>
          <w:szCs w:val="24"/>
        </w:rPr>
        <w:t>[Erişim: 18.07.2022].</w:t>
      </w:r>
      <w:bookmarkEnd w:id="293"/>
      <w:r w:rsidRPr="00E97E0B">
        <w:rPr>
          <w:rFonts w:ascii="Times New Roman" w:eastAsia="Calibri" w:hAnsi="Times New Roman" w:cs="Times New Roman"/>
          <w:sz w:val="24"/>
          <w:szCs w:val="24"/>
        </w:rPr>
        <w:t xml:space="preserve"> https://t24.com.tr/haber/basbakandan-muhalefete-secim-barajini-siz-niye-kaldirmadiniz,140985 </w:t>
      </w:r>
    </w:p>
    <w:p w14:paraId="0F13BF35" w14:textId="1E1633DA" w:rsidR="002E550F" w:rsidRPr="00E97E0B" w:rsidRDefault="00E81171"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2E550F" w:rsidRPr="00E97E0B">
        <w:rPr>
          <w:rFonts w:ascii="Times New Roman" w:eastAsia="Calibri" w:hAnsi="Times New Roman" w:cs="Times New Roman"/>
          <w:sz w:val="24"/>
          <w:szCs w:val="24"/>
        </w:rPr>
        <w:t xml:space="preserve">“Erdoğan: Bazı kitaplar vardır ki bombadan daha tesirlidir!” 10 Haziran 2011, [Erişim: 10.06.2022]. https://t24.com.tr/haber/erdogan-bazi-kitaplar-vardir-ki-bombadan-daha-tesirlidir,150308  </w:t>
      </w:r>
    </w:p>
    <w:p w14:paraId="5CE31AC9" w14:textId="711BB1B2"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Ünal</w:t>
      </w:r>
      <w:r w:rsidR="001F263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Serdar</w:t>
      </w:r>
      <w:r w:rsidR="001F263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“Kimliğin Tarihsel ve Kültürel Ortak İnşası: Türkiye’de Balkan Göçmenleri</w:t>
      </w:r>
      <w:r w:rsidR="002B5FAB"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sz w:val="24"/>
          <w:szCs w:val="24"/>
        </w:rPr>
        <w:t>Millî Folklor</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xml:space="preserve">. 24, S. 94, 2012. </w:t>
      </w:r>
    </w:p>
    <w:p w14:paraId="196F9E25" w14:textId="56386833" w:rsidR="00490EDD" w:rsidRPr="00E97E0B" w:rsidRDefault="00490EDD" w:rsidP="002858AE">
      <w:pPr>
        <w:spacing w:before="120" w:after="120" w:line="240" w:lineRule="auto"/>
        <w:jc w:val="both"/>
        <w:rPr>
          <w:rFonts w:ascii="Times New Roman" w:eastAsia="Calibri" w:hAnsi="Times New Roman" w:cs="Times New Roman"/>
          <w:sz w:val="24"/>
          <w:szCs w:val="24"/>
        </w:rPr>
      </w:pPr>
      <w:bookmarkStart w:id="294" w:name="_Hlk136298394"/>
      <w:r w:rsidRPr="00E97E0B">
        <w:rPr>
          <w:rFonts w:ascii="Times New Roman" w:eastAsia="Calibri" w:hAnsi="Times New Roman" w:cs="Times New Roman"/>
          <w:sz w:val="24"/>
          <w:szCs w:val="24"/>
          <w:lang w:val="en-US"/>
        </w:rPr>
        <w:t>Van Dijk, Teun A.. “Critical Discourse Analysis</w:t>
      </w:r>
      <w:r w:rsidR="004D75AB"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w:t>
      </w:r>
      <w:r w:rsidRPr="00E97E0B">
        <w:rPr>
          <w:rFonts w:ascii="Times New Roman" w:eastAsia="Calibri" w:hAnsi="Times New Roman" w:cs="Times New Roman"/>
          <w:i/>
          <w:iCs/>
          <w:sz w:val="24"/>
          <w:szCs w:val="24"/>
          <w:lang w:val="en-US"/>
        </w:rPr>
        <w:t>The Handbook of Discourse Analysis</w:t>
      </w:r>
      <w:r w:rsidRPr="00E97E0B">
        <w:rPr>
          <w:rFonts w:ascii="Times New Roman" w:eastAsia="Calibri" w:hAnsi="Times New Roman" w:cs="Times New Roman"/>
          <w:sz w:val="24"/>
          <w:szCs w:val="24"/>
          <w:lang w:val="en-US"/>
        </w:rPr>
        <w:t xml:space="preserve"> içinde, Deborah Tannen, Heidi E. Hamilton, Deborah Schiffrin (eds), 2. Baskı, Oxford: Wiley Blackwell, 2015</w:t>
      </w:r>
      <w:bookmarkEnd w:id="294"/>
      <w:r w:rsidRPr="00E97E0B">
        <w:rPr>
          <w:rFonts w:ascii="Times New Roman" w:eastAsia="Calibri" w:hAnsi="Times New Roman" w:cs="Times New Roman"/>
          <w:sz w:val="24"/>
          <w:szCs w:val="24"/>
          <w:lang w:val="en-US"/>
        </w:rPr>
        <w:t>.</w:t>
      </w:r>
    </w:p>
    <w:p w14:paraId="3BC11067" w14:textId="42053936" w:rsidR="002858AE" w:rsidRPr="00E97E0B" w:rsidRDefault="001F2632"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2858AE" w:rsidRPr="00E97E0B">
        <w:rPr>
          <w:rFonts w:ascii="Times New Roman" w:eastAsia="Calibri" w:hAnsi="Times New Roman" w:cs="Times New Roman"/>
          <w:sz w:val="24"/>
          <w:szCs w:val="24"/>
        </w:rPr>
        <w:t>“Discourse, Power and Access</w:t>
      </w:r>
      <w:r w:rsidR="004D75AB"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002858AE" w:rsidRPr="00E97E0B">
        <w:rPr>
          <w:rFonts w:ascii="Times New Roman" w:eastAsia="Calibri" w:hAnsi="Times New Roman" w:cs="Times New Roman"/>
          <w:sz w:val="24"/>
          <w:szCs w:val="24"/>
        </w:rPr>
        <w:t xml:space="preserve"> </w:t>
      </w:r>
      <w:r w:rsidR="002858AE" w:rsidRPr="00E97E0B">
        <w:rPr>
          <w:rFonts w:ascii="Times New Roman" w:eastAsia="Calibri" w:hAnsi="Times New Roman" w:cs="Times New Roman"/>
          <w:i/>
          <w:sz w:val="24"/>
          <w:szCs w:val="24"/>
        </w:rPr>
        <w:t>Texts and practices: readings in critical discourse analysis</w:t>
      </w:r>
      <w:r w:rsidR="002858AE" w:rsidRPr="00E97E0B">
        <w:rPr>
          <w:rFonts w:ascii="Times New Roman" w:eastAsia="Calibri" w:hAnsi="Times New Roman" w:cs="Times New Roman"/>
          <w:sz w:val="24"/>
          <w:szCs w:val="24"/>
        </w:rPr>
        <w:t xml:space="preserve"> içinde</w:t>
      </w:r>
      <w:r w:rsidR="00F27AD5" w:rsidRPr="00E97E0B">
        <w:rPr>
          <w:rFonts w:ascii="Times New Roman" w:eastAsia="Calibri" w:hAnsi="Times New Roman" w:cs="Times New Roman"/>
          <w:sz w:val="24"/>
          <w:szCs w:val="24"/>
        </w:rPr>
        <w:t>.</w:t>
      </w:r>
      <w:r w:rsidR="002858AE" w:rsidRPr="00E97E0B">
        <w:rPr>
          <w:rFonts w:ascii="Times New Roman" w:eastAsia="Calibri" w:hAnsi="Times New Roman" w:cs="Times New Roman"/>
          <w:sz w:val="24"/>
          <w:szCs w:val="24"/>
        </w:rPr>
        <w:t xml:space="preserve"> Eds. Carmen Rosa Caldas-Coulthard ve Malcolm Coulthard, London and New York: Routledge, 1996.</w:t>
      </w:r>
    </w:p>
    <w:p w14:paraId="3E5B9AA0" w14:textId="71441FF5" w:rsidR="002858AE" w:rsidRPr="00E97E0B" w:rsidRDefault="001F2632"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2858AE" w:rsidRPr="00E97E0B">
        <w:rPr>
          <w:rFonts w:ascii="Times New Roman" w:eastAsia="Calibri" w:hAnsi="Times New Roman" w:cs="Times New Roman"/>
          <w:i/>
          <w:iCs/>
          <w:sz w:val="24"/>
          <w:szCs w:val="24"/>
        </w:rPr>
        <w:t>Discourse Studies: A Multidisciplinary Introductio</w:t>
      </w:r>
      <w:r w:rsidR="00F27AD5" w:rsidRPr="00E97E0B">
        <w:rPr>
          <w:rFonts w:ascii="Times New Roman" w:eastAsia="Calibri" w:hAnsi="Times New Roman" w:cs="Times New Roman"/>
          <w:i/>
          <w:iCs/>
          <w:sz w:val="24"/>
          <w:szCs w:val="24"/>
        </w:rPr>
        <w:t>n</w:t>
      </w:r>
      <w:r w:rsidR="00F27AD5" w:rsidRPr="00E97E0B">
        <w:rPr>
          <w:rFonts w:ascii="Times New Roman" w:eastAsia="Calibri" w:hAnsi="Times New Roman" w:cs="Times New Roman"/>
          <w:sz w:val="24"/>
          <w:szCs w:val="24"/>
        </w:rPr>
        <w:t>.</w:t>
      </w:r>
      <w:r w:rsidR="002858AE" w:rsidRPr="00E97E0B">
        <w:rPr>
          <w:rFonts w:ascii="Times New Roman" w:eastAsia="Calibri" w:hAnsi="Times New Roman" w:cs="Times New Roman"/>
          <w:sz w:val="24"/>
          <w:szCs w:val="24"/>
        </w:rPr>
        <w:t xml:space="preserve"> Londra: Sage Publications, 2007.</w:t>
      </w:r>
    </w:p>
    <w:p w14:paraId="52D655D5" w14:textId="42E8A81F" w:rsidR="00490EDD" w:rsidRPr="00E97E0B" w:rsidRDefault="00490EDD"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lang w:val="en-US"/>
        </w:rPr>
        <w:t>___________.</w:t>
      </w:r>
      <w:r w:rsidRPr="00E97E0B">
        <w:rPr>
          <w:rFonts w:ascii="Times New Roman" w:eastAsia="Calibri" w:hAnsi="Times New Roman" w:cs="Times New Roman"/>
          <w:sz w:val="24"/>
          <w:szCs w:val="24"/>
        </w:rPr>
        <w:t xml:space="preserve"> “Opinions and ideologies in the press</w:t>
      </w:r>
      <w:r w:rsidR="004D75AB"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A. Bell ve P. Garrett (Eds.), Approaches to Media Discourse içinde (Oxford: Blackwel, 1998), l1-63.</w:t>
      </w:r>
    </w:p>
    <w:p w14:paraId="4673BD44" w14:textId="16C24D4E" w:rsidR="00490EDD" w:rsidRPr="00E97E0B" w:rsidRDefault="00490EDD"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___________. “Principles of Critical Discourse Analysis</w:t>
      </w:r>
      <w:r w:rsidR="004D75AB"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Discourse and Society</w:t>
      </w:r>
      <w:r w:rsidR="004D75AB" w:rsidRPr="00E97E0B">
        <w:rPr>
          <w:rFonts w:ascii="Times New Roman" w:eastAsia="Calibri" w:hAnsi="Times New Roman" w:cs="Times New Roman"/>
          <w:i/>
          <w:iCs/>
          <w:sz w:val="24"/>
          <w:szCs w:val="24"/>
        </w:rPr>
        <w:t>.</w:t>
      </w:r>
      <w:r w:rsidRPr="00E97E0B">
        <w:rPr>
          <w:rFonts w:ascii="Times New Roman" w:eastAsia="Calibri" w:hAnsi="Times New Roman" w:cs="Times New Roman"/>
          <w:sz w:val="24"/>
          <w:szCs w:val="24"/>
        </w:rPr>
        <w:t xml:space="preserve"> C. 4. S. 2. 1993.</w:t>
      </w:r>
    </w:p>
    <w:p w14:paraId="0CC54A81" w14:textId="528B55AB" w:rsidR="00490EDD" w:rsidRPr="00E97E0B" w:rsidRDefault="00490EDD" w:rsidP="00490EDD">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rPr>
        <w:t xml:space="preserve">___________. </w:t>
      </w:r>
      <w:r w:rsidRPr="00E97E0B">
        <w:rPr>
          <w:rFonts w:ascii="Times New Roman" w:eastAsia="Calibri" w:hAnsi="Times New Roman" w:cs="Times New Roman"/>
          <w:sz w:val="24"/>
          <w:szCs w:val="24"/>
          <w:lang w:val="en-US"/>
        </w:rPr>
        <w:t xml:space="preserve">“Söylem ve İdeoloji: Çok Alanlı Bir Yaklaşım.” </w:t>
      </w:r>
      <w:r w:rsidRPr="00E97E0B">
        <w:rPr>
          <w:rFonts w:ascii="Times New Roman" w:eastAsia="Calibri" w:hAnsi="Times New Roman" w:cs="Times New Roman"/>
          <w:i/>
          <w:iCs/>
          <w:sz w:val="24"/>
          <w:szCs w:val="24"/>
          <w:lang w:val="en-US"/>
        </w:rPr>
        <w:t>Söylem ve İdeoloji</w:t>
      </w:r>
      <w:r w:rsidRPr="00E97E0B">
        <w:rPr>
          <w:rFonts w:ascii="Times New Roman" w:eastAsia="Calibri" w:hAnsi="Times New Roman" w:cs="Times New Roman"/>
          <w:sz w:val="24"/>
          <w:szCs w:val="24"/>
          <w:lang w:val="en-US"/>
        </w:rPr>
        <w:t xml:space="preserve"> içinde </w:t>
      </w:r>
      <w:r w:rsidRPr="00E97E0B">
        <w:rPr>
          <w:rFonts w:ascii="Times New Roman" w:eastAsia="Calibri" w:hAnsi="Times New Roman" w:cs="Times New Roman"/>
          <w:sz w:val="24"/>
          <w:szCs w:val="24"/>
        </w:rPr>
        <w:t xml:space="preserve">çev. Nurcan Ateş, </w:t>
      </w:r>
      <w:r w:rsidRPr="00E97E0B">
        <w:rPr>
          <w:rFonts w:ascii="Times New Roman" w:eastAsia="Calibri" w:hAnsi="Times New Roman" w:cs="Times New Roman"/>
          <w:sz w:val="24"/>
          <w:szCs w:val="24"/>
          <w:lang w:val="en-US"/>
        </w:rPr>
        <w:t>(der) Barış Çoban ve Zeynep Özarslan, 2. Baskı, Su Yayınları, İstanbul, Eylül 2015.</w:t>
      </w:r>
    </w:p>
    <w:p w14:paraId="5B47C956" w14:textId="339E3AD8"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Varlık</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Selami</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“Ricoeur’ün Hermenötiğinde Merkezdışı Özne</w:t>
      </w:r>
      <w:r w:rsidR="009F399C"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Kaygı Uludağ Üniversitesi Fen-Edebiyat Fakültesi Felsefe Dergisi</w:t>
      </w:r>
      <w:r w:rsidRPr="00E97E0B">
        <w:rPr>
          <w:rFonts w:ascii="Times New Roman" w:eastAsia="Calibri" w:hAnsi="Times New Roman" w:cs="Times New Roman"/>
          <w:sz w:val="24"/>
          <w:szCs w:val="24"/>
        </w:rPr>
        <w:t>, S. 24, Bursa, 2015</w:t>
      </w:r>
      <w:r w:rsidR="00FE7E91" w:rsidRPr="00E97E0B">
        <w:rPr>
          <w:rFonts w:ascii="Times New Roman" w:eastAsia="Calibri" w:hAnsi="Times New Roman" w:cs="Times New Roman"/>
          <w:sz w:val="24"/>
          <w:szCs w:val="24"/>
        </w:rPr>
        <w:t>.</w:t>
      </w:r>
    </w:p>
    <w:p w14:paraId="6C03C095" w14:textId="5B5FD74C"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Vattimo</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Gianni</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“Postmodern Criticism: Postmodern Critique</w:t>
      </w:r>
      <w:r w:rsidR="0082310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Writing the Future</w:t>
      </w:r>
      <w:r w:rsidRPr="00E97E0B">
        <w:rPr>
          <w:rFonts w:ascii="Times New Roman" w:eastAsia="Calibri" w:hAnsi="Times New Roman" w:cs="Times New Roman"/>
          <w:sz w:val="24"/>
          <w:szCs w:val="24"/>
        </w:rPr>
        <w:t xml:space="preserve"> içinde, Ed</w:t>
      </w:r>
      <w:r w:rsidR="009368DA"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David Woods, London: Routledge, 1990.</w:t>
      </w:r>
    </w:p>
    <w:p w14:paraId="66FFF3E3" w14:textId="5D392A12"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lastRenderedPageBreak/>
        <w:t>Vergin</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Nur</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Siyasetin Sosyolojisi: Kavramlar Tanmımlar, Yaklaşımlar</w:t>
      </w:r>
      <w:r w:rsidR="00144099"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6. </w:t>
      </w:r>
      <w:r w:rsidR="00087046" w:rsidRPr="00E97E0B">
        <w:rPr>
          <w:rFonts w:ascii="Times New Roman" w:eastAsia="Calibri" w:hAnsi="Times New Roman" w:cs="Times New Roman"/>
          <w:sz w:val="24"/>
          <w:szCs w:val="24"/>
        </w:rPr>
        <w:t>Bs</w:t>
      </w:r>
      <w:r w:rsidRPr="00E97E0B">
        <w:rPr>
          <w:rFonts w:ascii="Times New Roman" w:eastAsia="Calibri" w:hAnsi="Times New Roman" w:cs="Times New Roman"/>
          <w:sz w:val="24"/>
          <w:szCs w:val="24"/>
        </w:rPr>
        <w:t>. İstanbul: Doğan Kitap, 2008.</w:t>
      </w:r>
    </w:p>
    <w:p w14:paraId="6C7F5B47" w14:textId="6C79FFA5" w:rsidR="00BA7E8A" w:rsidRPr="00E97E0B" w:rsidRDefault="00BA7E8A" w:rsidP="00BA7E8A">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lang w:val="en-US"/>
        </w:rPr>
        <w:t>Vie Publique</w:t>
      </w:r>
      <w:r w:rsidR="00FA6E6D"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rPr>
        <w:t xml:space="preserve"> “Déclaration de M. Nicolas Sarkozy, Ministre de l'intérieur et de l'aménagement du territoire et président de l'UMP, sur les propositions de l'UMP en matière d'immigration, d'intégration et d'emploi, à l'Assemblée nationale le 9 juin 2005</w:t>
      </w:r>
      <w:r w:rsidR="00FA6E6D"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Collections des Discours Publics</w:t>
      </w:r>
      <w:r w:rsidR="00FA6E6D" w:rsidRPr="00E97E0B">
        <w:rPr>
          <w:rFonts w:ascii="Times New Roman" w:eastAsia="Calibri" w:hAnsi="Times New Roman" w:cs="Times New Roman"/>
          <w:sz w:val="24"/>
          <w:szCs w:val="24"/>
        </w:rPr>
        <w:t>.</w:t>
      </w:r>
      <w:r w:rsidR="00D20376" w:rsidRPr="00E97E0B">
        <w:rPr>
          <w:rFonts w:ascii="Times New Roman" w:eastAsia="Calibri" w:hAnsi="Times New Roman" w:cs="Times New Roman"/>
          <w:sz w:val="24"/>
          <w:szCs w:val="24"/>
        </w:rPr>
        <w:t xml:space="preserve"> [Erişim: 10.04.2022].</w:t>
      </w:r>
      <w:r w:rsidRPr="00E97E0B">
        <w:rPr>
          <w:rFonts w:ascii="Times New Roman" w:eastAsia="Calibri" w:hAnsi="Times New Roman" w:cs="Times New Roman"/>
          <w:sz w:val="24"/>
          <w:szCs w:val="24"/>
        </w:rPr>
        <w:t xml:space="preserve"> https://www.vie-publique.fr/discours/148700-nicolas-sarkozy-09062005-ump-immigration-integration-emploi </w:t>
      </w:r>
    </w:p>
    <w:p w14:paraId="6CDDB338" w14:textId="1621FF95" w:rsidR="00BA7E8A" w:rsidRPr="00E97E0B" w:rsidRDefault="00315BB5" w:rsidP="00BA7E8A">
      <w:pPr>
        <w:spacing w:before="120" w:after="120" w:line="240" w:lineRule="auto"/>
        <w:jc w:val="both"/>
        <w:rPr>
          <w:rFonts w:ascii="Times New Roman" w:eastAsia="Calibri" w:hAnsi="Times New Roman" w:cs="Times New Roman"/>
          <w:sz w:val="24"/>
          <w:szCs w:val="24"/>
          <w:lang w:val="en-US"/>
        </w:rPr>
      </w:pPr>
      <w:r w:rsidRPr="00E97E0B">
        <w:rPr>
          <w:rFonts w:ascii="Times New Roman" w:eastAsia="Calibri" w:hAnsi="Times New Roman" w:cs="Times New Roman"/>
          <w:sz w:val="24"/>
          <w:szCs w:val="24"/>
        </w:rPr>
        <w:t xml:space="preserve">___________. </w:t>
      </w:r>
      <w:r w:rsidR="00BA7E8A" w:rsidRPr="00E97E0B">
        <w:rPr>
          <w:rFonts w:ascii="Times New Roman" w:eastAsia="Calibri" w:hAnsi="Times New Roman" w:cs="Times New Roman"/>
          <w:sz w:val="24"/>
          <w:szCs w:val="24"/>
          <w:lang w:val="en-US"/>
        </w:rPr>
        <w:t>“Déclaration de M. Nicolas Sarkozy, candidat à l'élection présidentielle, notamment sur la campagne électorale et sur l'immigration, à Clermont-Ferrand le 28 avril 2012</w:t>
      </w:r>
      <w:r w:rsidR="00FA6E6D" w:rsidRPr="00E97E0B">
        <w:rPr>
          <w:rFonts w:ascii="Times New Roman" w:eastAsia="Calibri" w:hAnsi="Times New Roman" w:cs="Times New Roman"/>
          <w:sz w:val="24"/>
          <w:szCs w:val="24"/>
          <w:lang w:val="en-US"/>
        </w:rPr>
        <w:t>.</w:t>
      </w:r>
      <w:r w:rsidR="00BA7E8A" w:rsidRPr="00E97E0B">
        <w:rPr>
          <w:rFonts w:ascii="Times New Roman" w:eastAsia="Calibri" w:hAnsi="Times New Roman" w:cs="Times New Roman"/>
          <w:sz w:val="24"/>
          <w:szCs w:val="24"/>
          <w:lang w:val="en-US"/>
        </w:rPr>
        <w:t>” Collections des Discours Publics</w:t>
      </w:r>
      <w:r w:rsidR="00FA6E6D" w:rsidRPr="00E97E0B">
        <w:rPr>
          <w:rFonts w:ascii="Times New Roman" w:eastAsia="Calibri" w:hAnsi="Times New Roman" w:cs="Times New Roman"/>
          <w:sz w:val="24"/>
          <w:szCs w:val="24"/>
          <w:lang w:val="en-US"/>
        </w:rPr>
        <w:t>.</w:t>
      </w:r>
      <w:r w:rsidR="00BA7E8A" w:rsidRPr="00E97E0B">
        <w:rPr>
          <w:rFonts w:ascii="Times New Roman" w:eastAsia="Calibri" w:hAnsi="Times New Roman" w:cs="Times New Roman"/>
          <w:sz w:val="24"/>
          <w:szCs w:val="24"/>
          <w:lang w:val="en-US"/>
        </w:rPr>
        <w:t xml:space="preserve"> [Erişim: 15.05.2022]</w:t>
      </w:r>
      <w:r w:rsidR="00FA6E6D" w:rsidRPr="00E97E0B">
        <w:rPr>
          <w:rFonts w:ascii="Times New Roman" w:eastAsia="Calibri" w:hAnsi="Times New Roman" w:cs="Times New Roman"/>
          <w:sz w:val="24"/>
          <w:szCs w:val="24"/>
          <w:lang w:val="en-US"/>
        </w:rPr>
        <w:t>.</w:t>
      </w:r>
      <w:r w:rsidR="00BA7E8A" w:rsidRPr="00E97E0B">
        <w:rPr>
          <w:rFonts w:ascii="Times New Roman" w:eastAsia="Calibri" w:hAnsi="Times New Roman" w:cs="Times New Roman"/>
          <w:sz w:val="24"/>
          <w:szCs w:val="24"/>
          <w:lang w:val="en-US"/>
        </w:rPr>
        <w:t xml:space="preserve"> https://www.vie-publique.fr/discours/184973-declaration-de-m-nicolas-sarkozy-candidat-lelection-presidentielle</w:t>
      </w:r>
    </w:p>
    <w:p w14:paraId="10315213" w14:textId="639F9C34" w:rsidR="00BA7E8A" w:rsidRPr="00E97E0B" w:rsidRDefault="00315BB5" w:rsidP="00BA7E8A">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BA7E8A" w:rsidRPr="00E97E0B">
        <w:rPr>
          <w:rFonts w:ascii="Times New Roman" w:eastAsia="Calibri" w:hAnsi="Times New Roman" w:cs="Times New Roman"/>
          <w:sz w:val="24"/>
          <w:szCs w:val="24"/>
        </w:rPr>
        <w:t>“Déclaration de M. Nicolas Sarkozy, Président de la République, sur la lutte contre la criminalité, la délinquance et l'immigration illégale, à Grenoble le 30 juillet 2010</w:t>
      </w:r>
      <w:r w:rsidR="00FA6E6D" w:rsidRPr="00E97E0B">
        <w:rPr>
          <w:rFonts w:ascii="Times New Roman" w:eastAsia="Calibri" w:hAnsi="Times New Roman" w:cs="Times New Roman"/>
          <w:sz w:val="24"/>
          <w:szCs w:val="24"/>
        </w:rPr>
        <w:t>.</w:t>
      </w:r>
      <w:r w:rsidR="00BA7E8A" w:rsidRPr="00E97E0B">
        <w:rPr>
          <w:rFonts w:ascii="Times New Roman" w:eastAsia="Calibri" w:hAnsi="Times New Roman" w:cs="Times New Roman"/>
          <w:sz w:val="24"/>
          <w:szCs w:val="24"/>
        </w:rPr>
        <w:t xml:space="preserve">” </w:t>
      </w:r>
      <w:r w:rsidR="00BA7E8A" w:rsidRPr="00E97E0B">
        <w:rPr>
          <w:rFonts w:ascii="Times New Roman" w:eastAsia="Calibri" w:hAnsi="Times New Roman" w:cs="Times New Roman"/>
          <w:sz w:val="24"/>
          <w:szCs w:val="24"/>
          <w:lang w:val="en-US"/>
        </w:rPr>
        <w:t>Collections des Discours Publics</w:t>
      </w:r>
      <w:r w:rsidR="00FA6E6D" w:rsidRPr="00E97E0B">
        <w:rPr>
          <w:rFonts w:ascii="Times New Roman" w:eastAsia="Calibri" w:hAnsi="Times New Roman" w:cs="Times New Roman"/>
          <w:sz w:val="24"/>
          <w:szCs w:val="24"/>
          <w:lang w:val="en-US"/>
        </w:rPr>
        <w:t>.</w:t>
      </w:r>
      <w:r w:rsidR="00D20376" w:rsidRPr="00E97E0B">
        <w:rPr>
          <w:rFonts w:ascii="Times New Roman" w:eastAsia="Calibri" w:hAnsi="Times New Roman" w:cs="Times New Roman"/>
          <w:sz w:val="24"/>
          <w:szCs w:val="24"/>
        </w:rPr>
        <w:t xml:space="preserve"> [Erişim 19.03.2022].</w:t>
      </w:r>
      <w:r w:rsidR="00BA7E8A" w:rsidRPr="00E97E0B">
        <w:rPr>
          <w:rFonts w:ascii="Times New Roman" w:eastAsia="Calibri" w:hAnsi="Times New Roman" w:cs="Times New Roman"/>
          <w:sz w:val="24"/>
          <w:szCs w:val="24"/>
          <w:lang w:val="en-US"/>
        </w:rPr>
        <w:t xml:space="preserve"> </w:t>
      </w:r>
      <w:r w:rsidR="00BA7E8A" w:rsidRPr="00E97E0B">
        <w:rPr>
          <w:rFonts w:ascii="Times New Roman" w:eastAsia="Calibri" w:hAnsi="Times New Roman" w:cs="Times New Roman"/>
          <w:sz w:val="24"/>
          <w:szCs w:val="24"/>
        </w:rPr>
        <w:t xml:space="preserve">https://www.vie-publique.fr/discours/179722-nicolas-sarkozy-30072010-criminalite-delinquance-immigration-illegale </w:t>
      </w:r>
    </w:p>
    <w:p w14:paraId="4F265794" w14:textId="791E3252" w:rsidR="00BA7E8A" w:rsidRPr="00E97E0B" w:rsidRDefault="00315BB5" w:rsidP="00BA7E8A">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BA7E8A" w:rsidRPr="00E97E0B">
        <w:rPr>
          <w:rFonts w:ascii="Times New Roman" w:eastAsia="Calibri" w:hAnsi="Times New Roman" w:cs="Times New Roman"/>
          <w:sz w:val="24"/>
          <w:szCs w:val="24"/>
        </w:rPr>
        <w:t>“Déclaration de M. Nicolas Sarkozy, Président de la République, sur la place de l'islam en France, à Paris, le 1er octobre 2007</w:t>
      </w:r>
      <w:r w:rsidR="00FA6E6D" w:rsidRPr="00E97E0B">
        <w:rPr>
          <w:rFonts w:ascii="Times New Roman" w:eastAsia="Calibri" w:hAnsi="Times New Roman" w:cs="Times New Roman"/>
          <w:sz w:val="24"/>
          <w:szCs w:val="24"/>
        </w:rPr>
        <w:t>.</w:t>
      </w:r>
      <w:r w:rsidR="00BA7E8A" w:rsidRPr="00E97E0B">
        <w:rPr>
          <w:rFonts w:ascii="Times New Roman" w:eastAsia="Calibri" w:hAnsi="Times New Roman" w:cs="Times New Roman"/>
          <w:sz w:val="24"/>
          <w:szCs w:val="24"/>
        </w:rPr>
        <w:t xml:space="preserve">” </w:t>
      </w:r>
      <w:r w:rsidR="001F0D06" w:rsidRPr="00E97E0B">
        <w:rPr>
          <w:rFonts w:ascii="Times New Roman" w:eastAsia="Calibri" w:hAnsi="Times New Roman" w:cs="Times New Roman"/>
          <w:sz w:val="24"/>
          <w:szCs w:val="24"/>
        </w:rPr>
        <w:t xml:space="preserve">[Erişim: 01.03.2022]. </w:t>
      </w:r>
      <w:r w:rsidR="00BA7E8A" w:rsidRPr="00E97E0B">
        <w:rPr>
          <w:rFonts w:ascii="Times New Roman" w:eastAsia="Calibri" w:hAnsi="Times New Roman" w:cs="Times New Roman"/>
          <w:sz w:val="24"/>
          <w:szCs w:val="24"/>
          <w:lang w:val="en-US"/>
        </w:rPr>
        <w:t>Collections des Discours Publics</w:t>
      </w:r>
      <w:r w:rsidR="00FA6E6D" w:rsidRPr="00E97E0B">
        <w:rPr>
          <w:rFonts w:ascii="Times New Roman" w:eastAsia="Calibri" w:hAnsi="Times New Roman" w:cs="Times New Roman"/>
          <w:sz w:val="24"/>
          <w:szCs w:val="24"/>
          <w:lang w:val="en-US"/>
        </w:rPr>
        <w:t>.</w:t>
      </w:r>
      <w:r w:rsidR="00BA7E8A" w:rsidRPr="00E97E0B">
        <w:rPr>
          <w:rFonts w:ascii="Times New Roman" w:eastAsia="Calibri" w:hAnsi="Times New Roman" w:cs="Times New Roman"/>
          <w:sz w:val="24"/>
          <w:szCs w:val="24"/>
          <w:lang w:val="en-US"/>
        </w:rPr>
        <w:t xml:space="preserve"> </w:t>
      </w:r>
      <w:r w:rsidR="00BA7E8A" w:rsidRPr="00E97E0B">
        <w:rPr>
          <w:rFonts w:ascii="Times New Roman" w:eastAsia="Calibri" w:hAnsi="Times New Roman" w:cs="Times New Roman"/>
          <w:sz w:val="24"/>
          <w:szCs w:val="24"/>
        </w:rPr>
        <w:t xml:space="preserve">https://www.vie-publique.fr/discours/167925-declaration-de-m-nicolas-sarkozy-president-de-la-republique-sur-la-pl </w:t>
      </w:r>
    </w:p>
    <w:p w14:paraId="0CFA96D8" w14:textId="6450BA9B" w:rsidR="00BA7E8A" w:rsidRPr="00E97E0B" w:rsidRDefault="00315BB5" w:rsidP="00BA7E8A">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BA7E8A" w:rsidRPr="00E97E0B">
        <w:rPr>
          <w:rFonts w:ascii="Times New Roman" w:eastAsia="Calibri" w:hAnsi="Times New Roman" w:cs="Times New Roman"/>
          <w:sz w:val="24"/>
          <w:szCs w:val="24"/>
        </w:rPr>
        <w:t>“Déclaration de M. Nicolas Sarkozy, Président de la République, sur les relations franco-chinoises et franco-asiatiques, à Paris, le 16 février 2010</w:t>
      </w:r>
      <w:r w:rsidR="00FA6E6D" w:rsidRPr="00E97E0B">
        <w:rPr>
          <w:rFonts w:ascii="Times New Roman" w:eastAsia="Calibri" w:hAnsi="Times New Roman" w:cs="Times New Roman"/>
          <w:sz w:val="24"/>
          <w:szCs w:val="24"/>
        </w:rPr>
        <w:t>.</w:t>
      </w:r>
      <w:r w:rsidR="00BA7E8A" w:rsidRPr="00E97E0B">
        <w:rPr>
          <w:rFonts w:ascii="Times New Roman" w:eastAsia="Calibri" w:hAnsi="Times New Roman" w:cs="Times New Roman"/>
          <w:sz w:val="24"/>
          <w:szCs w:val="24"/>
        </w:rPr>
        <w:t>” Collection des Discours Publics</w:t>
      </w:r>
      <w:r w:rsidR="00CC3F1B" w:rsidRPr="00E97E0B">
        <w:rPr>
          <w:rFonts w:ascii="Times New Roman" w:eastAsia="Calibri" w:hAnsi="Times New Roman" w:cs="Times New Roman"/>
          <w:sz w:val="24"/>
          <w:szCs w:val="24"/>
        </w:rPr>
        <w:t>.</w:t>
      </w:r>
      <w:r w:rsidR="00BA7E8A" w:rsidRPr="00E97E0B">
        <w:rPr>
          <w:rFonts w:ascii="Times New Roman" w:eastAsia="Calibri" w:hAnsi="Times New Roman" w:cs="Times New Roman"/>
          <w:sz w:val="24"/>
          <w:szCs w:val="24"/>
        </w:rPr>
        <w:t xml:space="preserve"> </w:t>
      </w:r>
      <w:r w:rsidR="001F0D06" w:rsidRPr="00E97E0B">
        <w:rPr>
          <w:rFonts w:ascii="Times New Roman" w:eastAsia="Calibri" w:hAnsi="Times New Roman" w:cs="Times New Roman"/>
          <w:sz w:val="24"/>
          <w:szCs w:val="24"/>
        </w:rPr>
        <w:t xml:space="preserve">[Erişim: 17.04.2022]. </w:t>
      </w:r>
      <w:r w:rsidR="00BA7E8A" w:rsidRPr="00E97E0B">
        <w:rPr>
          <w:rFonts w:ascii="Times New Roman" w:eastAsia="Calibri" w:hAnsi="Times New Roman" w:cs="Times New Roman"/>
          <w:sz w:val="24"/>
          <w:szCs w:val="24"/>
        </w:rPr>
        <w:t xml:space="preserve">https://www.vie-publique.fr/discours/178215-declaration-de-m-nicolas-sarkozy-president-de-la-republique-sur-les-r </w:t>
      </w:r>
    </w:p>
    <w:p w14:paraId="15FED6B3" w14:textId="7954BDDF" w:rsidR="00BA7E8A" w:rsidRPr="00E97E0B" w:rsidRDefault="00315BB5"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___________. </w:t>
      </w:r>
      <w:r w:rsidR="00BA7E8A" w:rsidRPr="00E97E0B">
        <w:rPr>
          <w:rFonts w:ascii="Times New Roman" w:eastAsia="Calibri" w:hAnsi="Times New Roman" w:cs="Times New Roman"/>
          <w:sz w:val="24"/>
          <w:szCs w:val="24"/>
        </w:rPr>
        <w:t>“Déclaration de M. Nicolas Sarkozy, Président de la République, sur les relations franco-israéliennes, à Jérusalem le 23 juin 2008</w:t>
      </w:r>
      <w:r w:rsidR="00FA6E6D" w:rsidRPr="00E97E0B">
        <w:rPr>
          <w:rFonts w:ascii="Times New Roman" w:eastAsia="Calibri" w:hAnsi="Times New Roman" w:cs="Times New Roman"/>
          <w:sz w:val="24"/>
          <w:szCs w:val="24"/>
        </w:rPr>
        <w:t>.</w:t>
      </w:r>
      <w:r w:rsidR="00BA7E8A" w:rsidRPr="00E97E0B">
        <w:rPr>
          <w:rFonts w:ascii="Times New Roman" w:eastAsia="Calibri" w:hAnsi="Times New Roman" w:cs="Times New Roman"/>
          <w:sz w:val="24"/>
          <w:szCs w:val="24"/>
        </w:rPr>
        <w:t xml:space="preserve">” </w:t>
      </w:r>
      <w:r w:rsidR="00BA7E8A" w:rsidRPr="00E97E0B">
        <w:rPr>
          <w:rFonts w:ascii="Times New Roman" w:eastAsia="Calibri" w:hAnsi="Times New Roman" w:cs="Times New Roman"/>
          <w:sz w:val="24"/>
          <w:szCs w:val="24"/>
          <w:lang w:val="en-US"/>
        </w:rPr>
        <w:t>Collections des Discours Publics</w:t>
      </w:r>
      <w:r w:rsidR="00CC3F1B" w:rsidRPr="00E97E0B">
        <w:rPr>
          <w:rFonts w:ascii="Times New Roman" w:eastAsia="Calibri" w:hAnsi="Times New Roman" w:cs="Times New Roman"/>
          <w:sz w:val="24"/>
          <w:szCs w:val="24"/>
          <w:lang w:val="en-US"/>
        </w:rPr>
        <w:t>.</w:t>
      </w:r>
      <w:r w:rsidR="00BA7E8A" w:rsidRPr="00E97E0B">
        <w:rPr>
          <w:rFonts w:ascii="Times New Roman" w:eastAsia="Calibri" w:hAnsi="Times New Roman" w:cs="Times New Roman"/>
          <w:sz w:val="24"/>
          <w:szCs w:val="24"/>
          <w:lang w:val="en-US"/>
        </w:rPr>
        <w:t xml:space="preserve"> </w:t>
      </w:r>
      <w:r w:rsidR="001F0D06" w:rsidRPr="00E97E0B">
        <w:rPr>
          <w:rFonts w:ascii="Times New Roman" w:eastAsia="Calibri" w:hAnsi="Times New Roman" w:cs="Times New Roman"/>
          <w:sz w:val="24"/>
          <w:szCs w:val="24"/>
        </w:rPr>
        <w:t xml:space="preserve">[Erişim: 20.04.2022]. </w:t>
      </w:r>
      <w:r w:rsidR="00BA7E8A" w:rsidRPr="00E97E0B">
        <w:rPr>
          <w:rFonts w:ascii="Times New Roman" w:eastAsia="Calibri" w:hAnsi="Times New Roman" w:cs="Times New Roman"/>
          <w:sz w:val="24"/>
          <w:szCs w:val="24"/>
        </w:rPr>
        <w:t xml:space="preserve">https://www.vie-publique.fr/discours/171327-declaration-de-m-nicolas-sarkozy-president-de-la-republique-sur-les-r </w:t>
      </w:r>
    </w:p>
    <w:p w14:paraId="61B83F38" w14:textId="325CA1F8" w:rsidR="0073741B"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Viprey</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Mouna</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“Immigration choisie, immigration subie: du discours à la réalité</w:t>
      </w:r>
      <w:r w:rsidR="009268B3"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La Revue de l’Ires</w:t>
      </w:r>
      <w:r w:rsidRPr="00E97E0B">
        <w:rPr>
          <w:rFonts w:ascii="Times New Roman" w:eastAsia="Calibri" w:hAnsi="Times New Roman" w:cs="Times New Roman"/>
          <w:sz w:val="24"/>
          <w:szCs w:val="24"/>
        </w:rPr>
        <w:t xml:space="preserve">, </w:t>
      </w:r>
      <w:r w:rsidR="003C353F"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1, S. 64, 2010.</w:t>
      </w:r>
    </w:p>
    <w:p w14:paraId="6F98353E" w14:textId="730FFF38"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Weil</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Patrick</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“Lettre ouverte à Nicolas Sarkozy sur sa politique d’immigration</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Editions Esprit</w:t>
      </w:r>
      <w:r w:rsidRPr="00E97E0B">
        <w:rPr>
          <w:rFonts w:ascii="Times New Roman" w:eastAsia="Calibri" w:hAnsi="Times New Roman" w:cs="Times New Roman"/>
          <w:sz w:val="24"/>
          <w:szCs w:val="24"/>
        </w:rPr>
        <w:t xml:space="preserve">, </w:t>
      </w:r>
      <w:r w:rsidR="003C353F"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5</w:t>
      </w:r>
      <w:r w:rsidR="002E0043"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501E93" w:rsidRPr="00E97E0B">
        <w:rPr>
          <w:rFonts w:ascii="Times New Roman" w:eastAsia="Calibri" w:hAnsi="Times New Roman" w:cs="Times New Roman"/>
          <w:sz w:val="24"/>
          <w:szCs w:val="24"/>
        </w:rPr>
        <w:t xml:space="preserve">S. </w:t>
      </w:r>
      <w:r w:rsidRPr="00E97E0B">
        <w:rPr>
          <w:rFonts w:ascii="Times New Roman" w:eastAsia="Calibri" w:hAnsi="Times New Roman" w:cs="Times New Roman"/>
          <w:sz w:val="24"/>
          <w:szCs w:val="24"/>
        </w:rPr>
        <w:t>324, 2006.</w:t>
      </w:r>
    </w:p>
    <w:p w14:paraId="3D3F74B9" w14:textId="51FE3B47"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Wendt</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Alexander</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Uluslararası Siyasetin Sosyal Teorisi</w:t>
      </w:r>
      <w:r w:rsidRPr="00E97E0B">
        <w:rPr>
          <w:rFonts w:ascii="Times New Roman" w:eastAsia="Calibri" w:hAnsi="Times New Roman" w:cs="Times New Roman"/>
          <w:sz w:val="24"/>
          <w:szCs w:val="24"/>
        </w:rPr>
        <w:t>, Çev. Helin Sarı Ertem ve Suna Gülfer Ihlamur Öner, İstanbul: Küre Yayınları, 2012.</w:t>
      </w:r>
    </w:p>
    <w:p w14:paraId="2134F4CD" w14:textId="25EF0827" w:rsidR="0073741B" w:rsidRPr="00E97E0B" w:rsidRDefault="0073741B"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Wikikaynak, “Recep Tayyip Erdoğan'ın 25 Mayıs 2011 tarihli Kırıkkale mitinginde yaptığı konuşma.” Recep Tayyip Erdoğan'ın konuşmaları. [Erişim: 20.08.2022]. https://tr.wikisource.org/wiki/Recep_Tayyip_Erdo%C4%9Fan%27%C4%B1n_25_</w:t>
      </w:r>
      <w:r w:rsidRPr="00E97E0B">
        <w:rPr>
          <w:rFonts w:ascii="Times New Roman" w:eastAsia="Calibri" w:hAnsi="Times New Roman" w:cs="Times New Roman"/>
          <w:sz w:val="24"/>
          <w:szCs w:val="24"/>
        </w:rPr>
        <w:lastRenderedPageBreak/>
        <w:t xml:space="preserve">May%C4%B1s_2011_tarihli_K%C4%B1r%C4%B1kkale_mitinginde_yapt%C4%B1%C4%9F%C4%B1_konu%C5%9Fma </w:t>
      </w:r>
    </w:p>
    <w:p w14:paraId="466DB7F2" w14:textId="42F99202"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Wilson, John</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“Politik Söylem</w:t>
      </w:r>
      <w:r w:rsidR="005B45BB"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Söylem ve İdeoloji</w:t>
      </w:r>
      <w:r w:rsidRPr="00E97E0B">
        <w:rPr>
          <w:rFonts w:ascii="Times New Roman" w:eastAsia="Calibri" w:hAnsi="Times New Roman" w:cs="Times New Roman"/>
          <w:sz w:val="24"/>
          <w:szCs w:val="24"/>
        </w:rPr>
        <w:t xml:space="preserve"> içinde, Haz. Barış Çoban ve Zeynep Özarslan, İstanbul: Su Yayınevi, 2015.</w:t>
      </w:r>
    </w:p>
    <w:p w14:paraId="7A36977A" w14:textId="0C9D5C6C"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Winock Michel, Perrin</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i/>
          <w:iCs/>
          <w:sz w:val="24"/>
          <w:szCs w:val="24"/>
        </w:rPr>
        <w:t xml:space="preserve"> Les figures de proue de la gauche depuis 1789</w:t>
      </w:r>
      <w:r w:rsidR="006B43A2"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F42D2E" w:rsidRPr="00E97E0B">
        <w:rPr>
          <w:rFonts w:ascii="Times New Roman" w:eastAsia="Calibri" w:hAnsi="Times New Roman" w:cs="Times New Roman"/>
          <w:sz w:val="24"/>
          <w:szCs w:val="24"/>
        </w:rPr>
        <w:t xml:space="preserve">Paris: </w:t>
      </w:r>
      <w:r w:rsidRPr="00E97E0B">
        <w:rPr>
          <w:rFonts w:ascii="Times New Roman" w:eastAsia="Calibri" w:hAnsi="Times New Roman" w:cs="Times New Roman"/>
          <w:sz w:val="24"/>
          <w:szCs w:val="24"/>
        </w:rPr>
        <w:t>Perrin, 2019.</w:t>
      </w:r>
    </w:p>
    <w:p w14:paraId="1B5E17FC" w14:textId="0867C10C"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Wodak</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Ruth</w:t>
      </w:r>
      <w:r w:rsidR="003C353F"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“Discourse Studies: Important Concepts and Terms</w:t>
      </w:r>
      <w:r w:rsidR="00B3403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 xml:space="preserve">Qualitative Discourse Analysis in the Social Sciences </w:t>
      </w:r>
      <w:r w:rsidRPr="00E97E0B">
        <w:rPr>
          <w:rFonts w:ascii="Times New Roman" w:eastAsia="Calibri" w:hAnsi="Times New Roman" w:cs="Times New Roman"/>
          <w:sz w:val="24"/>
          <w:szCs w:val="24"/>
        </w:rPr>
        <w:t>içinde, eds. Ruth Wodak ve Michal Krzyzanowski, London: Palgrave Macmillan, 2008</w:t>
      </w:r>
    </w:p>
    <w:p w14:paraId="03CAF159" w14:textId="03E82539"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Yılmaz</w:t>
      </w:r>
      <w:r w:rsidR="004244E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Alim ve </w:t>
      </w:r>
      <w:r w:rsidR="00943017" w:rsidRPr="00E97E0B">
        <w:rPr>
          <w:rFonts w:ascii="Times New Roman" w:eastAsia="Calibri" w:hAnsi="Times New Roman" w:cs="Times New Roman"/>
          <w:sz w:val="24"/>
          <w:szCs w:val="24"/>
        </w:rPr>
        <w:t xml:space="preserve">Didem </w:t>
      </w:r>
      <w:r w:rsidRPr="00E97E0B">
        <w:rPr>
          <w:rFonts w:ascii="Times New Roman" w:eastAsia="Calibri" w:hAnsi="Times New Roman" w:cs="Times New Roman"/>
          <w:sz w:val="24"/>
          <w:szCs w:val="24"/>
        </w:rPr>
        <w:t>Geylani</w:t>
      </w:r>
      <w:r w:rsidR="004244E8"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sz w:val="24"/>
          <w:szCs w:val="24"/>
        </w:rPr>
        <w:t>“Post Truth (Hakikat Sonrası), Global Siyaset ve Türkiye: Metodolojik Bir Yaklaşım</w:t>
      </w:r>
      <w:r w:rsidR="004244E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008D2703" w:rsidRPr="00E97E0B">
        <w:rPr>
          <w:rFonts w:ascii="Times New Roman" w:eastAsia="Calibri" w:hAnsi="Times New Roman" w:cs="Times New Roman"/>
          <w:i/>
          <w:sz w:val="24"/>
          <w:szCs w:val="24"/>
        </w:rPr>
        <w:t>Teoriden Pratiğe Türkiye Siyaseti</w:t>
      </w:r>
      <w:r w:rsidR="008D2703" w:rsidRPr="00E97E0B">
        <w:rPr>
          <w:rFonts w:ascii="Times New Roman" w:eastAsia="Calibri" w:hAnsi="Times New Roman" w:cs="Times New Roman"/>
          <w:sz w:val="24"/>
          <w:szCs w:val="24"/>
        </w:rPr>
        <w:t xml:space="preserve"> içinde, 1. Bs. </w:t>
      </w:r>
      <w:r w:rsidRPr="00E97E0B">
        <w:rPr>
          <w:rFonts w:ascii="Times New Roman" w:eastAsia="Calibri" w:hAnsi="Times New Roman" w:cs="Times New Roman"/>
          <w:sz w:val="24"/>
          <w:szCs w:val="24"/>
        </w:rPr>
        <w:t xml:space="preserve">Eds. Alim Yılmaz </w:t>
      </w:r>
      <w:r w:rsidR="004244E8" w:rsidRPr="00E97E0B">
        <w:rPr>
          <w:rFonts w:ascii="Times New Roman" w:eastAsia="Calibri" w:hAnsi="Times New Roman" w:cs="Times New Roman"/>
          <w:sz w:val="24"/>
          <w:szCs w:val="24"/>
        </w:rPr>
        <w:t>ve</w:t>
      </w:r>
      <w:r w:rsidRPr="00E97E0B">
        <w:rPr>
          <w:rFonts w:ascii="Times New Roman" w:eastAsia="Calibri" w:hAnsi="Times New Roman" w:cs="Times New Roman"/>
          <w:sz w:val="24"/>
          <w:szCs w:val="24"/>
        </w:rPr>
        <w:t xml:space="preserve"> İkram Bağcı, Ankara</w:t>
      </w:r>
      <w:r w:rsidR="00166ACB"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Liberte Yayınları, Mayıs 2021.</w:t>
      </w:r>
    </w:p>
    <w:p w14:paraId="6C94C7E1" w14:textId="14E0ECBE"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Yeğen</w:t>
      </w:r>
      <w:r w:rsidR="004244E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Mesut</w:t>
      </w:r>
      <w:r w:rsidR="004244E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“The Turkish State Discourse and the Exclusion of Kurdish Identity</w:t>
      </w:r>
      <w:r w:rsidR="00A52EF9"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Middle Eastern Studies</w:t>
      </w:r>
      <w:r w:rsidRPr="00E97E0B">
        <w:rPr>
          <w:rFonts w:ascii="Times New Roman" w:eastAsia="Calibri" w:hAnsi="Times New Roman" w:cs="Times New Roman"/>
          <w:sz w:val="24"/>
          <w:szCs w:val="24"/>
        </w:rPr>
        <w:t xml:space="preserve">, </w:t>
      </w:r>
      <w:r w:rsidR="000B78BD" w:rsidRPr="00E97E0B">
        <w:rPr>
          <w:rFonts w:ascii="Times New Roman" w:eastAsia="Calibri" w:hAnsi="Times New Roman" w:cs="Times New Roman"/>
          <w:sz w:val="24"/>
          <w:szCs w:val="24"/>
        </w:rPr>
        <w:t>C</w:t>
      </w:r>
      <w:r w:rsidRPr="00E97E0B">
        <w:rPr>
          <w:rFonts w:ascii="Times New Roman" w:eastAsia="Calibri" w:hAnsi="Times New Roman" w:cs="Times New Roman"/>
          <w:sz w:val="24"/>
          <w:szCs w:val="24"/>
        </w:rPr>
        <w:t>. 32, S. 2 Apr., 1996</w:t>
      </w:r>
      <w:r w:rsidR="00881AEA" w:rsidRPr="00E97E0B">
        <w:rPr>
          <w:rFonts w:ascii="Times New Roman" w:eastAsia="Calibri" w:hAnsi="Times New Roman" w:cs="Times New Roman"/>
          <w:sz w:val="24"/>
          <w:szCs w:val="24"/>
        </w:rPr>
        <w:t>,</w:t>
      </w:r>
      <w:r w:rsidR="00881AEA" w:rsidRPr="00E97E0B">
        <w:t xml:space="preserve"> </w:t>
      </w:r>
      <w:r w:rsidR="00881AEA" w:rsidRPr="00E97E0B">
        <w:rPr>
          <w:rFonts w:ascii="Times New Roman" w:eastAsia="Calibri" w:hAnsi="Times New Roman" w:cs="Times New Roman"/>
          <w:sz w:val="24"/>
          <w:szCs w:val="24"/>
        </w:rPr>
        <w:t>216-229.</w:t>
      </w:r>
    </w:p>
    <w:p w14:paraId="2564FAF6" w14:textId="24CD4FD3" w:rsidR="009A62B7" w:rsidRPr="00E97E0B" w:rsidRDefault="009A62B7"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Yenişafak, “12 Eylül bir Kırılma Noktası.” [Erişim: 01.07.2022]. https://www.yenisafak.com/gundem/12-eylul-bir-kirilma-noktasi-277165 </w:t>
      </w:r>
    </w:p>
    <w:p w14:paraId="22C4FA7A" w14:textId="19412EC9"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95" w:name="_Hlk136298684"/>
      <w:r w:rsidRPr="00E97E0B">
        <w:rPr>
          <w:rFonts w:ascii="Times New Roman" w:eastAsia="Calibri" w:hAnsi="Times New Roman" w:cs="Times New Roman"/>
          <w:sz w:val="24"/>
          <w:szCs w:val="24"/>
          <w:lang w:val="en-US"/>
        </w:rPr>
        <w:t>Yüksek Seçim Kurulu</w:t>
      </w:r>
      <w:r w:rsidR="001B1BBE"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22. Dönem Milletvekili Genel Seçimi, Milletvekili Genel Seçim Arşivi</w:t>
      </w:r>
      <w:r w:rsidR="001B1BBE" w:rsidRPr="00E97E0B">
        <w:rPr>
          <w:rFonts w:ascii="Times New Roman" w:eastAsia="Calibri" w:hAnsi="Times New Roman" w:cs="Times New Roman"/>
          <w:sz w:val="24"/>
          <w:szCs w:val="24"/>
          <w:lang w:val="en-US"/>
        </w:rPr>
        <w:t>.</w:t>
      </w:r>
      <w:r w:rsidRPr="00E97E0B">
        <w:rPr>
          <w:rFonts w:ascii="Times New Roman" w:eastAsia="Calibri" w:hAnsi="Times New Roman" w:cs="Times New Roman"/>
          <w:sz w:val="24"/>
          <w:szCs w:val="24"/>
          <w:lang w:val="en-US"/>
        </w:rPr>
        <w:t xml:space="preserve"> https://www.ysk.gov.tr/tr/03-kasim-2002-xxii-donem-milletvekili-genel-secimi/3009</w:t>
      </w:r>
      <w:r w:rsidRPr="00E97E0B">
        <w:rPr>
          <w:rFonts w:ascii="Times New Roman" w:eastAsia="Calibri" w:hAnsi="Times New Roman" w:cs="Times New Roman"/>
          <w:color w:val="0563C1"/>
          <w:sz w:val="24"/>
          <w:szCs w:val="24"/>
          <w:u w:val="single"/>
          <w:lang w:val="en-US"/>
        </w:rPr>
        <w:t xml:space="preserve"> </w:t>
      </w:r>
      <w:r w:rsidRPr="00E97E0B">
        <w:rPr>
          <w:rFonts w:ascii="Times New Roman" w:eastAsia="Calibri" w:hAnsi="Times New Roman" w:cs="Times New Roman"/>
          <w:sz w:val="24"/>
          <w:szCs w:val="24"/>
          <w:lang w:val="en-US"/>
        </w:rPr>
        <w:t>[Erişim 13.07.2022]</w:t>
      </w:r>
      <w:bookmarkEnd w:id="295"/>
    </w:p>
    <w:p w14:paraId="3E70E2A2" w14:textId="6EA66D3D" w:rsidR="00DD0783" w:rsidRPr="00E97E0B" w:rsidRDefault="00B34E5F" w:rsidP="002858AE">
      <w:pPr>
        <w:spacing w:before="120" w:after="120" w:line="240" w:lineRule="auto"/>
        <w:jc w:val="both"/>
        <w:rPr>
          <w:rFonts w:ascii="Times New Roman" w:eastAsia="Calibri" w:hAnsi="Times New Roman" w:cs="Times New Roman"/>
          <w:color w:val="000000" w:themeColor="text1"/>
          <w:sz w:val="24"/>
          <w:szCs w:val="24"/>
          <w:lang w:val="en-US"/>
        </w:rPr>
      </w:pPr>
      <w:bookmarkStart w:id="296" w:name="_Hlk140153172"/>
      <w:r w:rsidRPr="00E97E0B">
        <w:rPr>
          <w:rFonts w:ascii="Times New Roman" w:eastAsia="Calibri" w:hAnsi="Times New Roman" w:cs="Times New Roman"/>
          <w:color w:val="000000" w:themeColor="text1"/>
          <w:sz w:val="24"/>
          <w:szCs w:val="24"/>
          <w:lang w:val="en-US"/>
        </w:rPr>
        <w:t>___________</w:t>
      </w:r>
      <w:bookmarkEnd w:id="296"/>
      <w:r w:rsidR="001F2632" w:rsidRPr="00E97E0B">
        <w:rPr>
          <w:rFonts w:ascii="Times New Roman" w:eastAsia="Calibri" w:hAnsi="Times New Roman" w:cs="Times New Roman"/>
          <w:color w:val="000000" w:themeColor="text1"/>
          <w:sz w:val="24"/>
          <w:szCs w:val="24"/>
          <w:lang w:val="en-US"/>
        </w:rPr>
        <w:t>.</w:t>
      </w:r>
      <w:r w:rsidRPr="00E97E0B">
        <w:rPr>
          <w:rFonts w:ascii="Times New Roman" w:eastAsia="Calibri" w:hAnsi="Times New Roman" w:cs="Times New Roman"/>
          <w:color w:val="000000" w:themeColor="text1"/>
          <w:sz w:val="24"/>
          <w:szCs w:val="24"/>
          <w:lang w:val="en-US"/>
        </w:rPr>
        <w:t xml:space="preserve"> 1983-2007 Yılları Arasında Yapılan Milletvekili Genel Seçimleri, [Erişim 15.08.2022]</w:t>
      </w:r>
      <w:r w:rsidR="009A62B7" w:rsidRPr="00E97E0B">
        <w:rPr>
          <w:rFonts w:ascii="Times New Roman" w:eastAsia="Calibri" w:hAnsi="Times New Roman" w:cs="Times New Roman"/>
          <w:color w:val="000000" w:themeColor="text1"/>
          <w:sz w:val="24"/>
          <w:szCs w:val="24"/>
          <w:lang w:val="en-US"/>
        </w:rPr>
        <w:t>.</w:t>
      </w:r>
      <w:r w:rsidRPr="00E97E0B">
        <w:rPr>
          <w:rFonts w:ascii="Times New Roman" w:eastAsia="Calibri" w:hAnsi="Times New Roman" w:cs="Times New Roman"/>
          <w:color w:val="000000" w:themeColor="text1"/>
          <w:sz w:val="24"/>
          <w:szCs w:val="24"/>
          <w:lang w:val="en-US"/>
        </w:rPr>
        <w:t xml:space="preserve"> </w:t>
      </w:r>
      <w:r w:rsidR="00DD0783" w:rsidRPr="00E97E0B">
        <w:rPr>
          <w:rFonts w:ascii="Times New Roman" w:eastAsia="Calibri" w:hAnsi="Times New Roman" w:cs="Times New Roman"/>
          <w:color w:val="000000" w:themeColor="text1"/>
          <w:sz w:val="24"/>
          <w:szCs w:val="24"/>
          <w:lang w:val="en-US"/>
        </w:rPr>
        <w:t>https://www.ysk.gov.tr/tr/1983-2007-yillari-arasi-milletvekili-genel-secimleri/3008</w:t>
      </w:r>
    </w:p>
    <w:p w14:paraId="75415115" w14:textId="39AE79BF" w:rsidR="00DD0783" w:rsidRPr="00E97E0B" w:rsidRDefault="00DD0783" w:rsidP="00DD0783">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Youtube. “Ak Parti Ankara İl Başkanlığının İftar Yemeği 17 Temmuz 2013.” [Erişim: 10.07.2022]. https://www.youtube.com/watch?v=94lH2gSsVhM </w:t>
      </w:r>
    </w:p>
    <w:p w14:paraId="758177E3" w14:textId="17964663" w:rsidR="005658A4" w:rsidRPr="00E97E0B" w:rsidRDefault="005658A4" w:rsidP="00DD0783">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Youtube. “Discours de Nicolas Sarkozy à Bordeaux.” 03.03.2012. [Erişim: 15.04.2022]. https://www.youtube.com/watch?v=ou-QTPEBKYQ </w:t>
      </w:r>
    </w:p>
    <w:p w14:paraId="072E72F5" w14:textId="5AD41821" w:rsidR="005658A4" w:rsidRPr="00E97E0B" w:rsidRDefault="00DD0783" w:rsidP="00DD0783">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 xml:space="preserve">Youtube. “Erdoğan’ın İzmir Mitingi 2014.” [Erişim: 01.07.2022]. </w:t>
      </w:r>
      <w:r w:rsidR="005658A4" w:rsidRPr="00E97E0B">
        <w:rPr>
          <w:rFonts w:ascii="Times New Roman" w:eastAsia="Calibri" w:hAnsi="Times New Roman" w:cs="Times New Roman"/>
          <w:sz w:val="24"/>
          <w:szCs w:val="24"/>
        </w:rPr>
        <w:t>https://www.youtube.com/watch?v=Z67xUBMeYF4</w:t>
      </w:r>
    </w:p>
    <w:p w14:paraId="79C9D7FC" w14:textId="330BF13F"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Yürek</w:t>
      </w:r>
      <w:r w:rsidR="004244E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Nilay</w:t>
      </w:r>
      <w:r w:rsidR="004244E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“Encounters and Perceptions: A descriptive Study on the Local and Kurdish Residents of Lüleburgaz</w:t>
      </w:r>
      <w:r w:rsidR="00A52EF9"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Sabancı Üniversitesi Yayınlanmış Yüksek Lisans Tezi, 2014.</w:t>
      </w:r>
    </w:p>
    <w:p w14:paraId="4F6FCB31" w14:textId="597914D5" w:rsidR="002858AE" w:rsidRPr="00E97E0B" w:rsidRDefault="002858AE" w:rsidP="002858AE">
      <w:pPr>
        <w:spacing w:before="240" w:after="240" w:line="240" w:lineRule="auto"/>
        <w:jc w:val="both"/>
        <w:rPr>
          <w:rFonts w:ascii="Times New Roman" w:eastAsia="Calibri" w:hAnsi="Times New Roman" w:cs="Times New Roman"/>
          <w:sz w:val="24"/>
          <w:szCs w:val="24"/>
        </w:rPr>
      </w:pPr>
      <w:r w:rsidRPr="00E97E0B">
        <w:rPr>
          <w:rFonts w:ascii="Times New Roman" w:eastAsia="Calibri" w:hAnsi="Times New Roman" w:cs="Times New Roman"/>
          <w:sz w:val="24"/>
          <w:szCs w:val="24"/>
        </w:rPr>
        <w:t>Zerilli</w:t>
      </w:r>
      <w:r w:rsidR="004244E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Linda M. G.</w:t>
      </w:r>
      <w:r w:rsidR="004244E8"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“Alternatif Gerçekler Çağında Bilgi Teyidi ve Hakikat Anlatıcılığı</w:t>
      </w:r>
      <w:r w:rsidR="00A52EF9" w:rsidRPr="00E97E0B">
        <w:rPr>
          <w:rFonts w:ascii="Times New Roman" w:eastAsia="Calibri" w:hAnsi="Times New Roman" w:cs="Times New Roman"/>
          <w:sz w:val="24"/>
          <w:szCs w:val="24"/>
        </w:rPr>
        <w:t>.</w:t>
      </w:r>
      <w:r w:rsidR="006617F6"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Hakikat Sonrası sayısı</w:t>
      </w:r>
      <w:r w:rsidRPr="00E97E0B">
        <w:rPr>
          <w:rFonts w:ascii="Times New Roman" w:eastAsia="Calibri" w:hAnsi="Times New Roman" w:cs="Times New Roman"/>
          <w:sz w:val="24"/>
          <w:szCs w:val="24"/>
        </w:rPr>
        <w:t xml:space="preserve"> içinde</w:t>
      </w:r>
      <w:r w:rsidR="00A52EF9" w:rsidRPr="00E97E0B">
        <w:rPr>
          <w:rFonts w:ascii="Times New Roman" w:eastAsia="Calibri" w:hAnsi="Times New Roman" w:cs="Times New Roman"/>
          <w:sz w:val="24"/>
          <w:szCs w:val="24"/>
        </w:rPr>
        <w:t>.</w:t>
      </w:r>
      <w:r w:rsidRPr="00E97E0B">
        <w:rPr>
          <w:rFonts w:ascii="Times New Roman" w:eastAsia="Calibri" w:hAnsi="Times New Roman" w:cs="Times New Roman"/>
          <w:sz w:val="24"/>
          <w:szCs w:val="24"/>
        </w:rPr>
        <w:t xml:space="preserve"> </w:t>
      </w:r>
      <w:r w:rsidRPr="00E97E0B">
        <w:rPr>
          <w:rFonts w:ascii="Times New Roman" w:eastAsia="Calibri" w:hAnsi="Times New Roman" w:cs="Times New Roman"/>
          <w:i/>
          <w:iCs/>
          <w:sz w:val="24"/>
          <w:szCs w:val="24"/>
        </w:rPr>
        <w:t>Cogito</w:t>
      </w:r>
      <w:r w:rsidRPr="00E97E0B">
        <w:rPr>
          <w:rFonts w:ascii="Times New Roman" w:eastAsia="Calibri" w:hAnsi="Times New Roman" w:cs="Times New Roman"/>
          <w:sz w:val="24"/>
          <w:szCs w:val="24"/>
        </w:rPr>
        <w:t>, S. 104, İstanbul, 2021.</w:t>
      </w:r>
    </w:p>
    <w:p w14:paraId="4F99FBE7" w14:textId="77777777" w:rsidR="002858AE" w:rsidRPr="00E97E0B" w:rsidRDefault="002858AE" w:rsidP="002858AE">
      <w:pPr>
        <w:spacing w:before="120" w:after="120" w:line="240" w:lineRule="auto"/>
        <w:jc w:val="both"/>
        <w:rPr>
          <w:rFonts w:ascii="Times New Roman" w:eastAsia="Calibri" w:hAnsi="Times New Roman" w:cs="Times New Roman"/>
          <w:sz w:val="24"/>
          <w:szCs w:val="24"/>
          <w:lang w:val="en-US"/>
        </w:rPr>
      </w:pPr>
      <w:bookmarkStart w:id="297" w:name="_Hlk136299174"/>
    </w:p>
    <w:bookmarkEnd w:id="297"/>
    <w:p w14:paraId="6161A435" w14:textId="77777777" w:rsidR="002858AE" w:rsidRPr="00E97E0B" w:rsidRDefault="002858AE" w:rsidP="002858AE">
      <w:pPr>
        <w:spacing w:after="0" w:line="240" w:lineRule="auto"/>
        <w:jc w:val="both"/>
        <w:rPr>
          <w:rFonts w:ascii="Times New Roman" w:eastAsia="Calibri" w:hAnsi="Times New Roman" w:cs="Times New Roman"/>
          <w:sz w:val="24"/>
          <w:szCs w:val="24"/>
        </w:rPr>
      </w:pPr>
    </w:p>
    <w:p w14:paraId="79E5768B" w14:textId="77777777" w:rsidR="002858AE" w:rsidRPr="00E97E0B" w:rsidRDefault="002858AE" w:rsidP="002858AE">
      <w:pPr>
        <w:spacing w:after="0" w:line="240" w:lineRule="auto"/>
        <w:jc w:val="both"/>
        <w:rPr>
          <w:rFonts w:ascii="Times New Roman" w:eastAsia="Calibri" w:hAnsi="Times New Roman" w:cs="Times New Roman"/>
          <w:sz w:val="24"/>
          <w:szCs w:val="24"/>
        </w:rPr>
      </w:pPr>
    </w:p>
    <w:bookmarkEnd w:id="261"/>
    <w:p w14:paraId="749E3BBF" w14:textId="77777777" w:rsidR="002858AE" w:rsidRPr="00194617" w:rsidRDefault="002858AE" w:rsidP="002E49A6">
      <w:pPr>
        <w:ind w:right="-2"/>
        <w:rPr>
          <w:rFonts w:ascii="Book Antiqua" w:hAnsi="Book Antiqua" w:cs="Arial"/>
          <w:sz w:val="24"/>
          <w:szCs w:val="24"/>
        </w:rPr>
      </w:pPr>
    </w:p>
    <w:sectPr w:rsidR="002858AE" w:rsidRPr="00194617" w:rsidSect="00575F63">
      <w:pgSz w:w="11906" w:h="16838"/>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1C6AF" w14:textId="77777777" w:rsidR="002072EB" w:rsidRDefault="002072EB" w:rsidP="002858AE">
      <w:pPr>
        <w:spacing w:after="0" w:line="240" w:lineRule="auto"/>
      </w:pPr>
      <w:r>
        <w:separator/>
      </w:r>
    </w:p>
  </w:endnote>
  <w:endnote w:type="continuationSeparator" w:id="0">
    <w:p w14:paraId="4759F530" w14:textId="77777777" w:rsidR="002072EB" w:rsidRDefault="002072EB" w:rsidP="00285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ހ埲ⱃ"/>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ÍÃÏâ˛">
    <w:altName w:val="Calibri"/>
    <w:panose1 w:val="020B0604020202020204"/>
    <w:charset w:val="4D"/>
    <w:family w:val="auto"/>
    <w:notTrueType/>
    <w:pitch w:val="default"/>
    <w:sig w:usb0="00000003" w:usb1="00000000" w:usb2="00000000" w:usb3="00000000" w:csb0="00000001" w:csb1="00000000"/>
  </w:font>
  <w:font w:name="ÍmÛ»˛">
    <w:altName w:val="Calibri"/>
    <w:panose1 w:val="020B0604020202020204"/>
    <w:charset w:val="4D"/>
    <w:family w:val="auto"/>
    <w:notTrueType/>
    <w:pitch w:val="default"/>
    <w:sig w:usb0="00000003" w:usb1="00000000" w:usb2="00000000" w:usb3="00000000" w:csb0="00000001" w:csb1="00000000"/>
  </w:font>
  <w:font w:name="Ü]ƒÕ˛">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C2D6" w14:textId="644C28FA" w:rsidR="003C2413" w:rsidRDefault="003C2413">
    <w:pPr>
      <w:pStyle w:val="AltBilgi1"/>
      <w:jc w:val="center"/>
    </w:pPr>
  </w:p>
  <w:p w14:paraId="0A114CDC" w14:textId="77777777" w:rsidR="003C2413" w:rsidRDefault="003C2413" w:rsidP="00E969D2">
    <w:pPr>
      <w:pStyle w:val="AltBilgi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273507"/>
      <w:docPartObj>
        <w:docPartGallery w:val="Page Numbers (Bottom of Page)"/>
        <w:docPartUnique/>
      </w:docPartObj>
    </w:sdtPr>
    <w:sdtEndPr>
      <w:rPr>
        <w:rFonts w:ascii="Times New Roman" w:hAnsi="Times New Roman" w:cs="Times New Roman"/>
      </w:rPr>
    </w:sdtEndPr>
    <w:sdtContent>
      <w:p w14:paraId="68AD67E7" w14:textId="12AE7D62" w:rsidR="003C2413" w:rsidRPr="0076393A" w:rsidRDefault="003C2413">
        <w:pPr>
          <w:pStyle w:val="Footer"/>
          <w:jc w:val="center"/>
          <w:rPr>
            <w:rFonts w:ascii="Times New Roman" w:hAnsi="Times New Roman" w:cs="Times New Roman"/>
          </w:rPr>
        </w:pPr>
        <w:r w:rsidRPr="0076393A">
          <w:rPr>
            <w:rFonts w:ascii="Times New Roman" w:hAnsi="Times New Roman" w:cs="Times New Roman"/>
          </w:rPr>
          <w:fldChar w:fldCharType="begin"/>
        </w:r>
        <w:r w:rsidRPr="0076393A">
          <w:rPr>
            <w:rFonts w:ascii="Times New Roman" w:hAnsi="Times New Roman" w:cs="Times New Roman"/>
          </w:rPr>
          <w:instrText>PAGE   \* MERGEFORMAT</w:instrText>
        </w:r>
        <w:r w:rsidRPr="0076393A">
          <w:rPr>
            <w:rFonts w:ascii="Times New Roman" w:hAnsi="Times New Roman" w:cs="Times New Roman"/>
          </w:rPr>
          <w:fldChar w:fldCharType="separate"/>
        </w:r>
        <w:r w:rsidR="00527F0C">
          <w:rPr>
            <w:rFonts w:ascii="Times New Roman" w:hAnsi="Times New Roman" w:cs="Times New Roman"/>
            <w:noProof/>
          </w:rPr>
          <w:t>xi</w:t>
        </w:r>
        <w:r w:rsidRPr="0076393A">
          <w:rPr>
            <w:rFonts w:ascii="Times New Roman" w:hAnsi="Times New Roman" w:cs="Times New Roman"/>
          </w:rPr>
          <w:fldChar w:fldCharType="end"/>
        </w:r>
      </w:p>
    </w:sdtContent>
  </w:sdt>
  <w:p w14:paraId="7D6D146F" w14:textId="77777777" w:rsidR="003C2413" w:rsidRDefault="003C2413" w:rsidP="00E969D2">
    <w:pPr>
      <w:pStyle w:val="AltBilgi1"/>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293512"/>
      <w:docPartObj>
        <w:docPartGallery w:val="Page Numbers (Bottom of Page)"/>
        <w:docPartUnique/>
      </w:docPartObj>
    </w:sdtPr>
    <w:sdtEndPr/>
    <w:sdtContent>
      <w:p w14:paraId="21E2CFF2" w14:textId="523C0804" w:rsidR="003C2413" w:rsidRDefault="003C2413">
        <w:pPr>
          <w:pStyle w:val="AltBilgi1"/>
          <w:jc w:val="center"/>
        </w:pPr>
        <w:r>
          <w:fldChar w:fldCharType="begin"/>
        </w:r>
        <w:r>
          <w:instrText>PAGE   \* MERGEFORMAT</w:instrText>
        </w:r>
        <w:r>
          <w:fldChar w:fldCharType="separate"/>
        </w:r>
        <w:r w:rsidR="00B0130F">
          <w:rPr>
            <w:noProof/>
          </w:rPr>
          <w:t>339</w:t>
        </w:r>
        <w:r>
          <w:fldChar w:fldCharType="end"/>
        </w:r>
      </w:p>
    </w:sdtContent>
  </w:sdt>
  <w:p w14:paraId="15503C9A" w14:textId="77777777" w:rsidR="003C2413" w:rsidRDefault="003C2413" w:rsidP="00E969D2">
    <w:pPr>
      <w:pStyle w:val="AltBilgi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2C1B8" w14:textId="77777777" w:rsidR="002072EB" w:rsidRDefault="002072EB" w:rsidP="002858AE">
      <w:pPr>
        <w:spacing w:after="0" w:line="240" w:lineRule="auto"/>
      </w:pPr>
      <w:r>
        <w:separator/>
      </w:r>
    </w:p>
  </w:footnote>
  <w:footnote w:type="continuationSeparator" w:id="0">
    <w:p w14:paraId="30E9AC1C" w14:textId="77777777" w:rsidR="002072EB" w:rsidRDefault="002072EB" w:rsidP="002858AE">
      <w:pPr>
        <w:spacing w:after="0" w:line="240" w:lineRule="auto"/>
      </w:pPr>
      <w:r>
        <w:continuationSeparator/>
      </w:r>
    </w:p>
  </w:footnote>
  <w:footnote w:id="1">
    <w:p w14:paraId="21206693" w14:textId="3D88D0BF" w:rsidR="003C2413" w:rsidRPr="00E97E0B" w:rsidRDefault="003C2413" w:rsidP="002858AE">
      <w:pPr>
        <w:pStyle w:val="DipnotMetni1"/>
        <w:spacing w:before="0" w:after="0" w:line="240" w:lineRule="auto"/>
      </w:pPr>
      <w:bookmarkStart w:id="7" w:name="_Hlk136294933"/>
      <w:r w:rsidRPr="00E97E0B">
        <w:rPr>
          <w:rStyle w:val="FootnoteReference"/>
        </w:rPr>
        <w:footnoteRef/>
      </w:r>
      <w:r w:rsidRPr="00E97E0B">
        <w:t xml:space="preserve"> </w:t>
      </w:r>
      <w:bookmarkEnd w:id="7"/>
      <w:r w:rsidRPr="00E97E0B">
        <w:t xml:space="preserve">Şerif Mardin, “Center-Periphery Relations: A Key to Turkish Politics?” </w:t>
      </w:r>
      <w:r w:rsidRPr="00E97E0B">
        <w:rPr>
          <w:i/>
          <w:iCs/>
        </w:rPr>
        <w:t>Daedalus</w:t>
      </w:r>
      <w:r w:rsidRPr="00E97E0B">
        <w:t xml:space="preserve"> c. 102, s.1 (1973), 169–90. </w:t>
      </w:r>
      <w:r w:rsidRPr="00E97E0B">
        <w:rPr>
          <w:rStyle w:val="Kpr1"/>
          <w:color w:val="auto"/>
          <w:u w:val="none"/>
        </w:rPr>
        <w:t>http://www.jstor.org/stable/20024114</w:t>
      </w:r>
    </w:p>
  </w:footnote>
  <w:footnote w:id="2">
    <w:p w14:paraId="730BC67A" w14:textId="0EA77707" w:rsidR="003C2413" w:rsidRPr="00E97E0B" w:rsidRDefault="003C2413" w:rsidP="002858AE">
      <w:pPr>
        <w:pStyle w:val="DipnotMetni1"/>
        <w:spacing w:before="0" w:after="0" w:line="240" w:lineRule="auto"/>
      </w:pPr>
      <w:r w:rsidRPr="00E97E0B">
        <w:rPr>
          <w:rStyle w:val="FootnoteReference"/>
        </w:rPr>
        <w:footnoteRef/>
      </w:r>
      <w:r w:rsidRPr="00E97E0B">
        <w:t xml:space="preserve"> Süleyman Güven, “Postmodern Siyaset ve Söylem: Siyasi Parti Lider Söylemleri Üzerine Bir Çalışma” (Yayımlanmış Doktora Tezi, Ankara Üniversitesi Sosyal Bilimler Enstitüsü, Ankara 2015)</w:t>
      </w:r>
      <w:r w:rsidR="00047190" w:rsidRPr="00E97E0B">
        <w:t>.</w:t>
      </w:r>
    </w:p>
  </w:footnote>
  <w:footnote w:id="3">
    <w:p w14:paraId="25CA358D" w14:textId="498DF6AC" w:rsidR="003C2413" w:rsidRPr="00E97E0B" w:rsidRDefault="003C2413" w:rsidP="002858AE">
      <w:pPr>
        <w:pStyle w:val="DipnotMetni1"/>
        <w:spacing w:before="0" w:after="0" w:line="240" w:lineRule="auto"/>
      </w:pPr>
      <w:r w:rsidRPr="00E97E0B">
        <w:rPr>
          <w:rStyle w:val="FootnoteReference"/>
        </w:rPr>
        <w:footnoteRef/>
      </w:r>
      <w:r w:rsidRPr="00E97E0B">
        <w:t xml:space="preserve"> Betül Ayanoğlu, “Otherness in Turkish-Greek Relations: Continuity and Change in the Political Discourse (1996-1999)” (Yayımlanmış Doktora Tezi, Yıldız Teknik Üniversitesi, Sosyal Bilimler Enstitüsü, İstanbul 2021)</w:t>
      </w:r>
      <w:r w:rsidR="00047190" w:rsidRPr="00E97E0B">
        <w:t>.</w:t>
      </w:r>
    </w:p>
  </w:footnote>
  <w:footnote w:id="4">
    <w:p w14:paraId="5975262E" w14:textId="663D137D" w:rsidR="003C2413" w:rsidRPr="00E97E0B" w:rsidRDefault="003C2413" w:rsidP="002858AE">
      <w:pPr>
        <w:pStyle w:val="DipnotMetni1"/>
        <w:spacing w:before="0" w:after="0" w:line="240" w:lineRule="auto"/>
      </w:pPr>
      <w:r w:rsidRPr="00E97E0B">
        <w:rPr>
          <w:rStyle w:val="FootnoteReference"/>
        </w:rPr>
        <w:footnoteRef/>
      </w:r>
      <w:r w:rsidRPr="00E97E0B">
        <w:t xml:space="preserve"> Elif Sandal Önal, “Dimensions of othering: Boundaries, group narratives, and the impact on political diversity” (Yayımlanmış Doktora Tezi, İstanbul Bilgi Üniversitesi, Lisansüstü Programlar Enstitüsü, İstanbul 2021)</w:t>
      </w:r>
      <w:r w:rsidR="00047190" w:rsidRPr="00E97E0B">
        <w:t>.</w:t>
      </w:r>
    </w:p>
  </w:footnote>
  <w:footnote w:id="5">
    <w:p w14:paraId="7E46A93E" w14:textId="50219340" w:rsidR="003C2413" w:rsidRPr="00E97E0B" w:rsidRDefault="003C2413" w:rsidP="002858AE">
      <w:pPr>
        <w:pStyle w:val="DipnotMetni1"/>
        <w:spacing w:before="0" w:after="0" w:line="240" w:lineRule="auto"/>
      </w:pPr>
      <w:r w:rsidRPr="00E97E0B">
        <w:rPr>
          <w:rStyle w:val="FootnoteReference"/>
        </w:rPr>
        <w:footnoteRef/>
      </w:r>
      <w:r w:rsidRPr="00E97E0B">
        <w:t xml:space="preserve"> Beyza Karayel Yeşilbaş, “Media, nationalism and violence: A critical discourse analysis of a news about 'Others'” (Yayımlanmış Yüksek Lisans Tezi, Galatasaray Üniversitesi, Sosyal Bilimler Enstitüsü, 2015, İstanbul)</w:t>
      </w:r>
      <w:r w:rsidR="00047190" w:rsidRPr="00E97E0B">
        <w:t>.</w:t>
      </w:r>
    </w:p>
  </w:footnote>
  <w:footnote w:id="6">
    <w:p w14:paraId="77D7BD5C" w14:textId="331AED38"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Pr="00E97E0B">
        <w:rPr>
          <w:rFonts w:cs="Times New Roman"/>
        </w:rPr>
        <w:t>Aylin Arslan, “Ötekiliğin dinsel kimlik ve cinsel kimlik çerçevesindeki izdüşümleri” (</w:t>
      </w:r>
      <w:r w:rsidRPr="00E97E0B">
        <w:t>Yayımlanmış Yüksek Lisans Tezi, Hacettepe Üniversitesi Sosyal Bilimler Enstitüsü, Ankara 2021)</w:t>
      </w:r>
    </w:p>
  </w:footnote>
  <w:footnote w:id="7">
    <w:p w14:paraId="2A886CC8" w14:textId="208C1B0E" w:rsidR="003C2413" w:rsidRPr="00E97E0B" w:rsidRDefault="003C2413" w:rsidP="002858AE">
      <w:pPr>
        <w:pStyle w:val="DipnotMetni1"/>
        <w:spacing w:before="0" w:after="0" w:line="240" w:lineRule="auto"/>
        <w:rPr>
          <w:rFonts w:cs="Times New Roman"/>
        </w:rPr>
      </w:pPr>
      <w:r w:rsidRPr="00E97E0B">
        <w:rPr>
          <w:rStyle w:val="FootnoteReference"/>
        </w:rPr>
        <w:footnoteRef/>
      </w:r>
      <w:r w:rsidRPr="00E97E0B">
        <w:t xml:space="preserve"> Oğuz Göksu, “</w:t>
      </w:r>
      <w:r w:rsidRPr="00E97E0B">
        <w:rPr>
          <w:rFonts w:cs="Times New Roman"/>
        </w:rPr>
        <w:t xml:space="preserve">Ak Parti döneminin seçim stratejileri ve siyasal kampanyaları 2002-2014 Dönemi Analizi,” Turkish Studies Social Sciences,” c. 14 s. 3, 2019, 589-621, </w:t>
      </w:r>
      <w:r w:rsidR="009F6C90" w:rsidRPr="00E97E0B">
        <w:rPr>
          <w:rFonts w:cs="Times New Roman"/>
        </w:rPr>
        <w:t>http://dx.doi.org/</w:t>
      </w:r>
      <w:r w:rsidRPr="00E97E0B">
        <w:rPr>
          <w:rFonts w:cs="Times New Roman"/>
        </w:rPr>
        <w:t>10.29228/TurkishStudies.22907</w:t>
      </w:r>
    </w:p>
  </w:footnote>
  <w:footnote w:id="8">
    <w:p w14:paraId="4EC1FFF5" w14:textId="2B0B578F" w:rsidR="003C2413" w:rsidRPr="00E97E0B" w:rsidRDefault="003C2413" w:rsidP="002858AE">
      <w:pPr>
        <w:pStyle w:val="DipnotMetni1"/>
        <w:spacing w:before="0" w:after="0" w:line="240" w:lineRule="auto"/>
      </w:pPr>
      <w:r w:rsidRPr="00E97E0B">
        <w:rPr>
          <w:rStyle w:val="FootnoteReference"/>
        </w:rPr>
        <w:footnoteRef/>
      </w:r>
      <w:r w:rsidRPr="00E97E0B">
        <w:t xml:space="preserve"> Selin Karana Şenol, “Two Different Worlds but the Same Populism: Comparison of Hugo Chávez and Recep Tayyip Erdoğan” (Yayınlanmış Doktora Tezi, Yeditepe Üniversitesi, Sosyal Bilimler Enstitüsü, İstanbul 2017)</w:t>
      </w:r>
      <w:r w:rsidR="00047190" w:rsidRPr="00E97E0B">
        <w:t>.</w:t>
      </w:r>
    </w:p>
  </w:footnote>
  <w:footnote w:id="9">
    <w:p w14:paraId="038548E7" w14:textId="77777777" w:rsidR="003C2413" w:rsidRPr="00E97E0B" w:rsidRDefault="003C2413" w:rsidP="00F6357C">
      <w:pPr>
        <w:pStyle w:val="DipnotMetni1"/>
        <w:spacing w:after="0" w:line="240" w:lineRule="auto"/>
      </w:pPr>
      <w:r w:rsidRPr="00E97E0B">
        <w:rPr>
          <w:rStyle w:val="FootnoteReference"/>
        </w:rPr>
        <w:footnoteRef/>
      </w:r>
      <w:r w:rsidRPr="00E97E0B">
        <w:t xml:space="preserve"> Teun Van Dijk, “Söylem ve İdeoloji: Çok Alanlı Bir Yaklaşım,” Söylem ve İdeoloji içinde (der) Barış Çoban ve Zeynep Özarslan, 2. Baskı, (İstanbul: Su Yayınları, Eylül 2015), 41.</w:t>
      </w:r>
    </w:p>
  </w:footnote>
  <w:footnote w:id="10">
    <w:p w14:paraId="2B4A72CD" w14:textId="69D1A488" w:rsidR="003C2413" w:rsidRPr="00E97E0B" w:rsidRDefault="003C2413" w:rsidP="00F6357C">
      <w:pPr>
        <w:pStyle w:val="DipnotMetni1"/>
        <w:spacing w:before="0" w:after="0" w:line="240" w:lineRule="auto"/>
      </w:pPr>
      <w:r w:rsidRPr="00E97E0B">
        <w:rPr>
          <w:rStyle w:val="FootnoteReference"/>
        </w:rPr>
        <w:footnoteRef/>
      </w:r>
      <w:r w:rsidRPr="00E97E0B">
        <w:t xml:space="preserve"> Teun A. Van Dijk, “Critical Discourse Analysis,” The Handbook of Discourse Analysis içinde, </w:t>
      </w:r>
      <w:r w:rsidR="00263DFD" w:rsidRPr="00E97E0B">
        <w:t xml:space="preserve">eds. </w:t>
      </w:r>
      <w:r w:rsidRPr="00E97E0B">
        <w:t xml:space="preserve">Deborah Tannen, Heidi E. Hamilton, Deborah Schiffrin, 2. </w:t>
      </w:r>
      <w:r w:rsidR="000013F1" w:rsidRPr="00E97E0B">
        <w:t>bs</w:t>
      </w:r>
      <w:r w:rsidRPr="00E97E0B">
        <w:t>, (Oxford: Wiley Blackwell, 2015), 469.</w:t>
      </w:r>
    </w:p>
  </w:footnote>
  <w:footnote w:id="11">
    <w:p w14:paraId="6222F4BE" w14:textId="4414D4E9" w:rsidR="003C2413" w:rsidRPr="00E97E0B" w:rsidRDefault="003C2413" w:rsidP="002858AE">
      <w:pPr>
        <w:pStyle w:val="DipnotMetni1"/>
        <w:spacing w:before="0" w:after="0" w:line="240" w:lineRule="auto"/>
      </w:pPr>
      <w:r w:rsidRPr="00E97E0B">
        <w:rPr>
          <w:rStyle w:val="FootnoteReference"/>
        </w:rPr>
        <w:footnoteRef/>
      </w:r>
      <w:r w:rsidRPr="00E97E0B">
        <w:t xml:space="preserve"> Teun Van Dijk, “Söylem ve İdeoloji: Çok Alanlı Bir Yaklaşım,” 6, 7, 51-71.</w:t>
      </w:r>
    </w:p>
  </w:footnote>
  <w:footnote w:id="12">
    <w:p w14:paraId="721407CB" w14:textId="13F728A5" w:rsidR="003C2413" w:rsidRPr="00E97E0B" w:rsidRDefault="003C2413" w:rsidP="00F6357C">
      <w:pPr>
        <w:pStyle w:val="DipnotMetni1"/>
        <w:spacing w:before="0" w:after="0" w:line="240" w:lineRule="auto"/>
      </w:pPr>
      <w:r w:rsidRPr="00E97E0B">
        <w:rPr>
          <w:rStyle w:val="FootnoteReference"/>
        </w:rPr>
        <w:footnoteRef/>
      </w:r>
      <w:r w:rsidRPr="00E97E0B">
        <w:t xml:space="preserve"> Teun A. Van Dijk, “Critical Discourse Analysis,” 474.</w:t>
      </w:r>
    </w:p>
  </w:footnote>
  <w:footnote w:id="13">
    <w:p w14:paraId="057BF0BC" w14:textId="57D3B219" w:rsidR="003C2413" w:rsidRPr="00E97E0B" w:rsidRDefault="003C2413" w:rsidP="00F6357C">
      <w:pPr>
        <w:pStyle w:val="DipnotMetni1"/>
        <w:spacing w:before="0" w:after="0" w:line="240" w:lineRule="auto"/>
      </w:pPr>
      <w:r w:rsidRPr="00E97E0B">
        <w:rPr>
          <w:rStyle w:val="FootnoteReference"/>
        </w:rPr>
        <w:footnoteRef/>
      </w:r>
      <w:r w:rsidRPr="00E97E0B">
        <w:t xml:space="preserve"> </w:t>
      </w:r>
      <w:r w:rsidR="004671D2">
        <w:t>Ibid.</w:t>
      </w:r>
      <w:r w:rsidRPr="00E97E0B">
        <w:t xml:space="preserve">, 471, 472, 474, 476. </w:t>
      </w:r>
    </w:p>
  </w:footnote>
  <w:footnote w:id="14">
    <w:p w14:paraId="7ECF04AE" w14:textId="21344A8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Prof. Dr. Veli Doğan Günay, </w:t>
      </w:r>
      <w:r w:rsidRPr="00E97E0B">
        <w:rPr>
          <w:rFonts w:ascii="Times" w:hAnsi="Times"/>
          <w:i/>
        </w:rPr>
        <w:t>Söylem Çözümlemesi</w:t>
      </w:r>
      <w:r w:rsidRPr="00E97E0B">
        <w:rPr>
          <w:rFonts w:ascii="Times" w:hAnsi="Times"/>
        </w:rPr>
        <w:t>, 2. bs., (İstanbul: Papatya Yayıncılık Eğitim, 2018), 22.</w:t>
      </w:r>
    </w:p>
  </w:footnote>
  <w:footnote w:id="15">
    <w:p w14:paraId="66F383BD" w14:textId="1830023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Sibel Arkonaç, </w:t>
      </w:r>
      <w:r w:rsidRPr="00E97E0B">
        <w:rPr>
          <w:rFonts w:ascii="Times" w:hAnsi="Times"/>
          <w:i/>
          <w:iCs/>
        </w:rPr>
        <w:t>Psikolojide Söz ve Anlam Analizi Niteliksel Duruş,</w:t>
      </w:r>
      <w:r w:rsidRPr="00E97E0B">
        <w:rPr>
          <w:rFonts w:ascii="Times" w:hAnsi="Times"/>
        </w:rPr>
        <w:t xml:space="preserve"> (İstanbul: Hiperyayın, 2017), 130.</w:t>
      </w:r>
    </w:p>
  </w:footnote>
  <w:footnote w:id="16">
    <w:p w14:paraId="2711E5AB" w14:textId="1A42C33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3" w:name="_Hlk119243437"/>
      <w:r w:rsidRPr="00E97E0B">
        <w:rPr>
          <w:rFonts w:ascii="Times" w:hAnsi="Times"/>
        </w:rPr>
        <w:t xml:space="preserve">Dr. Öğr. Gör. Levent Doyuran, “Medyatik Bir Çalışma Alanı Olarak Eleştirel Söylem Çözümlemesi (Televizyon Dizileri Örneğinde),” </w:t>
      </w:r>
      <w:r w:rsidRPr="00E97E0B">
        <w:rPr>
          <w:rFonts w:ascii="Times" w:hAnsi="Times"/>
          <w:i/>
          <w:iCs/>
        </w:rPr>
        <w:t>Erciyes İletişim Dergisi</w:t>
      </w:r>
      <w:r w:rsidRPr="00E97E0B">
        <w:rPr>
          <w:rFonts w:ascii="Times" w:hAnsi="Times"/>
        </w:rPr>
        <w:t xml:space="preserve">, c. 5, s. 4, (Kayseri, 2018), 301. </w:t>
      </w:r>
      <w:bookmarkEnd w:id="13"/>
    </w:p>
  </w:footnote>
  <w:footnote w:id="17">
    <w:p w14:paraId="74A49C32" w14:textId="4FBB081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Style w:val="FootnoteReference"/>
          <w:rFonts w:ascii="Times" w:hAnsi="Times"/>
        </w:rPr>
        <w:t xml:space="preserve"> </w:t>
      </w:r>
      <w:bookmarkStart w:id="14" w:name="_Hlk119243497"/>
      <w:bookmarkStart w:id="15" w:name="_Hlk119243778"/>
      <w:r w:rsidRPr="00E97E0B">
        <w:rPr>
          <w:rFonts w:ascii="Times" w:hAnsi="Times"/>
        </w:rPr>
        <w:t xml:space="preserve">Fran Tonkiss, Analysis text and speech: content and discourse analysis. C. Seale, (2nd ed.). In. Researching Society and Culture. (367-383). London: Sage, 2006 akt. Hilal Çelik ve Halil Ekşi, “Söylem Analizi,” </w:t>
      </w:r>
      <w:r w:rsidRPr="00E97E0B">
        <w:rPr>
          <w:rFonts w:ascii="Times" w:hAnsi="Times"/>
          <w:i/>
          <w:iCs/>
        </w:rPr>
        <w:t>Marmara Üniversitesi Atatürk Eğitim Fakültesi Dergisi,</w:t>
      </w:r>
      <w:r w:rsidRPr="00E97E0B">
        <w:rPr>
          <w:rFonts w:ascii="Times" w:hAnsi="Times"/>
        </w:rPr>
        <w:t xml:space="preserve"> c. 27, s. 29, (İstanbul, 2008), 105</w:t>
      </w:r>
      <w:bookmarkEnd w:id="14"/>
      <w:bookmarkEnd w:id="15"/>
      <w:r w:rsidRPr="00E97E0B">
        <w:rPr>
          <w:rFonts w:ascii="Times" w:hAnsi="Times"/>
        </w:rPr>
        <w:t xml:space="preserve">. </w:t>
      </w:r>
    </w:p>
  </w:footnote>
  <w:footnote w:id="18">
    <w:p w14:paraId="6A092A84" w14:textId="482818C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Doğan Günay, </w:t>
      </w:r>
      <w:r w:rsidRPr="00E97E0B">
        <w:rPr>
          <w:rFonts w:ascii="Times" w:hAnsi="Times"/>
          <w:i/>
          <w:iCs/>
        </w:rPr>
        <w:t>Söylem Çözümlemesi,</w:t>
      </w:r>
      <w:r w:rsidRPr="00E97E0B">
        <w:rPr>
          <w:rFonts w:ascii="Times" w:hAnsi="Times"/>
        </w:rPr>
        <w:t xml:space="preserve"> 2. bs., (İstanbul: Papatya Yayıncılık, 2018), 24-28.</w:t>
      </w:r>
    </w:p>
  </w:footnote>
  <w:footnote w:id="19">
    <w:p w14:paraId="7CB0E9A2" w14:textId="42EC830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7" w:name="_Hlk119243970"/>
      <w:r w:rsidRPr="00E97E0B">
        <w:rPr>
          <w:rFonts w:ascii="Times" w:hAnsi="Times"/>
        </w:rPr>
        <w:t xml:space="preserve">Louis Guespin, “Problématique des travaux sur le discours politique,” </w:t>
      </w:r>
      <w:r w:rsidRPr="00E97E0B">
        <w:rPr>
          <w:rFonts w:ascii="Times" w:hAnsi="Times"/>
          <w:i/>
          <w:iCs/>
        </w:rPr>
        <w:t xml:space="preserve">Le discours politique özel sayısı Langages Dergisi, </w:t>
      </w:r>
      <w:r w:rsidRPr="00E97E0B">
        <w:rPr>
          <w:rFonts w:ascii="Times" w:hAnsi="Times"/>
        </w:rPr>
        <w:t>s.23 (France, 1971), 9</w:t>
      </w:r>
      <w:bookmarkEnd w:id="17"/>
      <w:r w:rsidRPr="00E97E0B">
        <w:rPr>
          <w:rFonts w:ascii="Times" w:hAnsi="Times"/>
        </w:rPr>
        <w:t>.</w:t>
      </w:r>
    </w:p>
  </w:footnote>
  <w:footnote w:id="20">
    <w:p w14:paraId="29FFEA55" w14:textId="2CEAB34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Patrick Charaudeau, </w:t>
      </w:r>
      <w:r w:rsidRPr="00E97E0B">
        <w:rPr>
          <w:rFonts w:ascii="Times" w:hAnsi="Times"/>
          <w:i/>
          <w:iCs/>
        </w:rPr>
        <w:t xml:space="preserve">Dominique Maingueneau, Dictionnaire d’Analyse du Discours, Paris, Editions du Seuil </w:t>
      </w:r>
      <w:r w:rsidRPr="00E97E0B">
        <w:rPr>
          <w:rFonts w:ascii="Times" w:hAnsi="Times"/>
        </w:rPr>
        <w:t>(Paris, 2002), 186-187.</w:t>
      </w:r>
    </w:p>
  </w:footnote>
  <w:footnote w:id="21">
    <w:p w14:paraId="59CD89BB"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Doğan Günay, </w:t>
      </w:r>
      <w:r w:rsidRPr="00E97E0B">
        <w:rPr>
          <w:rFonts w:ascii="Times" w:hAnsi="Times"/>
          <w:i/>
          <w:iCs/>
        </w:rPr>
        <w:t>Söylem Çözümlemesi,</w:t>
      </w:r>
      <w:r w:rsidRPr="00E97E0B">
        <w:rPr>
          <w:rFonts w:ascii="Times" w:hAnsi="Times"/>
        </w:rPr>
        <w:t xml:space="preserve"> 27, 28, 33.</w:t>
      </w:r>
    </w:p>
  </w:footnote>
  <w:footnote w:id="22">
    <w:p w14:paraId="3D29B662" w14:textId="505F71C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8" w:name="_Hlk119244284"/>
      <w:r w:rsidRPr="00E97E0B">
        <w:rPr>
          <w:rFonts w:ascii="Times" w:hAnsi="Times"/>
        </w:rPr>
        <w:t xml:space="preserve">Berkan Güngör, “Söylem Yaklaşımı Üzerine Bir Kavram Çalışması ve Eleştirel Söylem Analizi,” </w:t>
      </w:r>
      <w:r w:rsidRPr="00E97E0B">
        <w:rPr>
          <w:rFonts w:ascii="Times" w:hAnsi="Times"/>
          <w:i/>
          <w:iCs/>
        </w:rPr>
        <w:t>Kritik İletişim Çalışmaları Dergisi,</w:t>
      </w:r>
      <w:r w:rsidRPr="00E97E0B">
        <w:rPr>
          <w:rFonts w:ascii="Times" w:hAnsi="Times"/>
        </w:rPr>
        <w:t xml:space="preserve"> c. 2, S. 2. (Konya, 2020), s. 1</w:t>
      </w:r>
      <w:bookmarkEnd w:id="18"/>
      <w:r w:rsidRPr="00E97E0B">
        <w:rPr>
          <w:rFonts w:ascii="Times" w:hAnsi="Times"/>
        </w:rPr>
        <w:t xml:space="preserve">. </w:t>
      </w:r>
    </w:p>
  </w:footnote>
  <w:footnote w:id="23">
    <w:p w14:paraId="04469337" w14:textId="10ADCE8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20" w:name="_Hlk119261681"/>
      <w:r w:rsidRPr="00E97E0B">
        <w:rPr>
          <w:rFonts w:ascii="Times" w:hAnsi="Times"/>
        </w:rPr>
        <w:t xml:space="preserve">Ruth Wodak, “Discourse Studies: Important Concepts and Terms” </w:t>
      </w:r>
      <w:r w:rsidRPr="00E97E0B">
        <w:rPr>
          <w:rFonts w:ascii="Times" w:hAnsi="Times"/>
          <w:i/>
          <w:iCs/>
        </w:rPr>
        <w:t xml:space="preserve">Qualitative Discourse Analysis in the Social Sciences </w:t>
      </w:r>
      <w:r w:rsidRPr="00E97E0B">
        <w:rPr>
          <w:rFonts w:ascii="Times" w:hAnsi="Times"/>
        </w:rPr>
        <w:t>içinde, eds. Ruth Wodak ve Michal Krzyzanowski, (London: Palgrave Macmillan, 2008), 5.</w:t>
      </w:r>
      <w:bookmarkEnd w:id="20"/>
    </w:p>
  </w:footnote>
  <w:footnote w:id="24">
    <w:p w14:paraId="228A4EA5" w14:textId="75651E0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5.</w:t>
      </w:r>
    </w:p>
  </w:footnote>
  <w:footnote w:id="25">
    <w:p w14:paraId="2EF7C31E" w14:textId="32303BD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1,2.</w:t>
      </w:r>
    </w:p>
  </w:footnote>
  <w:footnote w:id="26">
    <w:p w14:paraId="7205320F" w14:textId="5EC1438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3.</w:t>
      </w:r>
    </w:p>
  </w:footnote>
  <w:footnote w:id="27">
    <w:p w14:paraId="4C5E5353" w14:textId="5CEDA9D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21" w:name="_Hlk119261981"/>
      <w:r w:rsidRPr="00E97E0B">
        <w:rPr>
          <w:rFonts w:ascii="Times" w:hAnsi="Times"/>
        </w:rPr>
        <w:t xml:space="preserve">Teun A. Van Dijk, </w:t>
      </w:r>
      <w:r w:rsidRPr="00E97E0B">
        <w:rPr>
          <w:rFonts w:ascii="Times" w:hAnsi="Times"/>
          <w:i/>
          <w:iCs/>
        </w:rPr>
        <w:t>Discourse Studies: A Multidisciplinary Introduction,</w:t>
      </w:r>
      <w:r w:rsidRPr="00E97E0B">
        <w:rPr>
          <w:rFonts w:ascii="Times" w:hAnsi="Times"/>
        </w:rPr>
        <w:t xml:space="preserve"> (London: Sage Publications, 2007), xxvi, xxvii</w:t>
      </w:r>
      <w:bookmarkEnd w:id="21"/>
    </w:p>
  </w:footnote>
  <w:footnote w:id="28">
    <w:p w14:paraId="59AF63F4" w14:textId="1B15D21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Ruth Wodak, “Discourse Studies: Important Concepts and Terms,” 3, 4.</w:t>
      </w:r>
    </w:p>
  </w:footnote>
  <w:footnote w:id="29">
    <w:p w14:paraId="389A6873" w14:textId="14A42D0E"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6.</w:t>
      </w:r>
    </w:p>
  </w:footnote>
  <w:footnote w:id="30">
    <w:p w14:paraId="16A5D155" w14:textId="4C3A414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22" w:name="_Hlk119265184"/>
      <w:r w:rsidRPr="00E97E0B">
        <w:rPr>
          <w:rFonts w:ascii="Times" w:hAnsi="Times"/>
        </w:rPr>
        <w:t xml:space="preserve">Norman Fairclough, </w:t>
      </w:r>
      <w:r w:rsidRPr="00E97E0B">
        <w:rPr>
          <w:rFonts w:ascii="Times" w:hAnsi="Times"/>
          <w:i/>
          <w:iCs/>
        </w:rPr>
        <w:t>Discourse and Social Change,</w:t>
      </w:r>
      <w:r w:rsidRPr="00E97E0B">
        <w:rPr>
          <w:rFonts w:ascii="Times" w:hAnsi="Times"/>
        </w:rPr>
        <w:t xml:space="preserve"> (Cambridge: Polity Press, 1993), 74-75.</w:t>
      </w:r>
      <w:bookmarkEnd w:id="22"/>
    </w:p>
  </w:footnote>
  <w:footnote w:id="31">
    <w:p w14:paraId="725C5D47"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De Beaugrande Robert-Alain ve Wolfgang Dressler. “Introduction to Text Linguistics,” 1981, XIV Congress of Linguists, Berlin 1987, Universität Wien.</w:t>
      </w:r>
    </w:p>
  </w:footnote>
  <w:footnote w:id="32">
    <w:p w14:paraId="5C735DDC" w14:textId="6D40140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Ruth Wodak, “Discourse Studies: Important Concepts and Terms,” 7.</w:t>
      </w:r>
    </w:p>
  </w:footnote>
  <w:footnote w:id="33">
    <w:p w14:paraId="50E49E82"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De Beaugrande Robert-Alain ve Wolfgang Dressler. “Introduction to Text Linguistics.”</w:t>
      </w:r>
    </w:p>
  </w:footnote>
  <w:footnote w:id="34">
    <w:p w14:paraId="6DA1B60B" w14:textId="25F4DE0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Ruth Wodak, “Discourse Studies: Important Concepts and Terms,” 8.</w:t>
      </w:r>
    </w:p>
  </w:footnote>
  <w:footnote w:id="35">
    <w:p w14:paraId="6FD1B583" w14:textId="1F01D5F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9, 10.</w:t>
      </w:r>
    </w:p>
  </w:footnote>
  <w:footnote w:id="36">
    <w:p w14:paraId="5B2D439F" w14:textId="6A83B8C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10.</w:t>
      </w:r>
    </w:p>
  </w:footnote>
  <w:footnote w:id="37">
    <w:p w14:paraId="72880D4A" w14:textId="758C32F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12.</w:t>
      </w:r>
    </w:p>
  </w:footnote>
  <w:footnote w:id="38">
    <w:p w14:paraId="6872CA9D" w14:textId="528A55B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Jonathan Culler, </w:t>
      </w:r>
      <w:r w:rsidRPr="00E97E0B">
        <w:rPr>
          <w:rFonts w:ascii="Times" w:hAnsi="Times"/>
          <w:i/>
          <w:iCs/>
        </w:rPr>
        <w:t>On Deconstruction: Theory and Criticism after Structuralism</w:t>
      </w:r>
      <w:r w:rsidRPr="00E97E0B">
        <w:rPr>
          <w:rFonts w:ascii="Times" w:hAnsi="Times"/>
        </w:rPr>
        <w:t>, (New York: Cornell University Press, 1985) 4. baskı</w:t>
      </w:r>
      <w:bookmarkStart w:id="24" w:name="_Hlk119262512"/>
      <w:r w:rsidRPr="00E97E0B">
        <w:rPr>
          <w:rFonts w:ascii="Times" w:hAnsi="Times"/>
        </w:rPr>
        <w:t>, 128, 129.</w:t>
      </w:r>
      <w:bookmarkEnd w:id="24"/>
    </w:p>
  </w:footnote>
  <w:footnote w:id="39">
    <w:p w14:paraId="16D3D742" w14:textId="5E65F7D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26" w:name="_Hlk119262396"/>
      <w:r w:rsidRPr="00E97E0B">
        <w:rPr>
          <w:rFonts w:ascii="Times" w:hAnsi="Times"/>
        </w:rPr>
        <w:t xml:space="preserve">Mihail M. Bahtin, </w:t>
      </w:r>
      <w:r w:rsidRPr="00E97E0B">
        <w:rPr>
          <w:rFonts w:ascii="Times" w:hAnsi="Times"/>
          <w:i/>
          <w:iCs/>
        </w:rPr>
        <w:t>Söylem Türleri ve Başka Yazılar,</w:t>
      </w:r>
      <w:r w:rsidRPr="00E97E0B">
        <w:rPr>
          <w:rFonts w:ascii="Times" w:hAnsi="Times"/>
        </w:rPr>
        <w:t xml:space="preserve"> Çev. Okan N. Çiftci, 1. bs. (İstanbul: Metis Yayınları, 2016), 65, 66, 67.</w:t>
      </w:r>
      <w:bookmarkEnd w:id="26"/>
    </w:p>
  </w:footnote>
  <w:footnote w:id="40">
    <w:p w14:paraId="57F5B9DE" w14:textId="77D3F02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Gunther R. Kress, </w:t>
      </w:r>
      <w:r w:rsidRPr="00E97E0B">
        <w:rPr>
          <w:rFonts w:ascii="Times" w:hAnsi="Times"/>
          <w:i/>
          <w:iCs/>
        </w:rPr>
        <w:t>Linguistic Processes in Sociocultural Practice</w:t>
      </w:r>
      <w:r w:rsidRPr="00E97E0B">
        <w:rPr>
          <w:rFonts w:ascii="Times" w:hAnsi="Times"/>
        </w:rPr>
        <w:t>, (Geelong: Deakin University Press, 1985)’den aktaran Ruth Wodak, “Discourse Studies: Important Concepts and Terms,” 14.</w:t>
      </w:r>
    </w:p>
  </w:footnote>
  <w:footnote w:id="41">
    <w:p w14:paraId="08E87103" w14:textId="0AC99F7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14.</w:t>
      </w:r>
    </w:p>
  </w:footnote>
  <w:footnote w:id="42">
    <w:p w14:paraId="58444120" w14:textId="1D4F538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14, 15.</w:t>
      </w:r>
    </w:p>
  </w:footnote>
  <w:footnote w:id="43">
    <w:p w14:paraId="4D835BF0" w14:textId="5134F045"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H. Girnth, “Texte im Politischen Diskurs Ein Vorschlag zur diskurs orientierten Beschreibung von Textzorten” </w:t>
      </w:r>
      <w:r w:rsidRPr="00E97E0B">
        <w:rPr>
          <w:rFonts w:ascii="Times" w:hAnsi="Times"/>
          <w:i/>
          <w:iCs/>
        </w:rPr>
        <w:t>Mutterspach</w:t>
      </w:r>
      <w:r w:rsidRPr="00E97E0B">
        <w:rPr>
          <w:rFonts w:ascii="Times" w:hAnsi="Times"/>
        </w:rPr>
        <w:t>e c. 1 (1996), 66-80’den aktaran. Ruth Wodak, “Discourse Studies: Important Concepts and Terms,” 17.</w:t>
      </w:r>
    </w:p>
    <w:p w14:paraId="436AF4EE" w14:textId="77777777" w:rsidR="003C2413" w:rsidRPr="00E97E0B" w:rsidRDefault="003C2413" w:rsidP="002858AE">
      <w:pPr>
        <w:pStyle w:val="DipnotMetni1"/>
        <w:spacing w:before="0" w:after="0" w:line="240" w:lineRule="auto"/>
        <w:rPr>
          <w:rFonts w:ascii="Times" w:hAnsi="Times"/>
        </w:rPr>
      </w:pPr>
    </w:p>
  </w:footnote>
  <w:footnote w:id="44">
    <w:p w14:paraId="79433A21" w14:textId="6315798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28" w:name="_Hlk119262792"/>
      <w:r w:rsidRPr="00E97E0B">
        <w:rPr>
          <w:rFonts w:ascii="Times" w:hAnsi="Times"/>
        </w:rPr>
        <w:t xml:space="preserve">Paul Chilton, </w:t>
      </w:r>
      <w:r w:rsidRPr="00E97E0B">
        <w:rPr>
          <w:rFonts w:ascii="Times" w:hAnsi="Times"/>
          <w:i/>
          <w:iCs/>
        </w:rPr>
        <w:t>Analysing Political Discourse, Theory and Practice</w:t>
      </w:r>
      <w:r w:rsidRPr="00E97E0B">
        <w:rPr>
          <w:rFonts w:ascii="Times" w:hAnsi="Times"/>
        </w:rPr>
        <w:t>, (London and New York: Routledge, 2003), 5.</w:t>
      </w:r>
      <w:bookmarkEnd w:id="28"/>
    </w:p>
  </w:footnote>
  <w:footnote w:id="45">
    <w:p w14:paraId="231A04DE" w14:textId="615DCBE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 10.</w:t>
      </w:r>
    </w:p>
  </w:footnote>
  <w:footnote w:id="46">
    <w:p w14:paraId="38397C4F" w14:textId="1E16B49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17-18,19,20.</w:t>
      </w:r>
    </w:p>
  </w:footnote>
  <w:footnote w:id="47">
    <w:p w14:paraId="1062BD5E" w14:textId="1320EE7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29" w:name="_Hlk119262799"/>
      <w:r w:rsidRPr="00E97E0B">
        <w:rPr>
          <w:rFonts w:ascii="Times" w:hAnsi="Times"/>
        </w:rPr>
        <w:t xml:space="preserve">Noam Chomsky, </w:t>
      </w:r>
      <w:r w:rsidRPr="00E97E0B">
        <w:rPr>
          <w:rFonts w:ascii="Times" w:hAnsi="Times"/>
          <w:i/>
          <w:iCs/>
        </w:rPr>
        <w:t xml:space="preserve">Language and Mind, </w:t>
      </w:r>
      <w:r w:rsidRPr="00E97E0B">
        <w:rPr>
          <w:rFonts w:ascii="Times" w:hAnsi="Times"/>
        </w:rPr>
        <w:t>3. bs.</w:t>
      </w:r>
      <w:r w:rsidRPr="00E97E0B">
        <w:rPr>
          <w:rFonts w:ascii="Times" w:hAnsi="Times"/>
          <w:i/>
          <w:iCs/>
        </w:rPr>
        <w:t xml:space="preserve"> </w:t>
      </w:r>
      <w:r w:rsidRPr="00E97E0B">
        <w:rPr>
          <w:rFonts w:ascii="Times" w:hAnsi="Times"/>
        </w:rPr>
        <w:t xml:space="preserve">(Cambridge: Cambridge University Press, 2006), 90. </w:t>
      </w:r>
      <w:bookmarkEnd w:id="29"/>
    </w:p>
  </w:footnote>
  <w:footnote w:id="48">
    <w:p w14:paraId="37076A62" w14:textId="04A056F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Paul Chilton, </w:t>
      </w:r>
      <w:r w:rsidRPr="00E97E0B">
        <w:rPr>
          <w:rFonts w:ascii="Times" w:hAnsi="Times"/>
          <w:i/>
          <w:iCs/>
        </w:rPr>
        <w:t>Analysing Political Discourse</w:t>
      </w:r>
      <w:r w:rsidRPr="00E97E0B">
        <w:rPr>
          <w:rFonts w:ascii="Times" w:hAnsi="Times"/>
        </w:rPr>
        <w:t xml:space="preserve">, </w:t>
      </w:r>
      <w:r w:rsidRPr="00E97E0B">
        <w:rPr>
          <w:rFonts w:ascii="Times" w:hAnsi="Times"/>
          <w:i/>
          <w:iCs/>
        </w:rPr>
        <w:t>Theory and Practice,</w:t>
      </w:r>
      <w:r w:rsidRPr="00E97E0B">
        <w:rPr>
          <w:rFonts w:ascii="Times" w:hAnsi="Times"/>
        </w:rPr>
        <w:t xml:space="preserve"> 26.</w:t>
      </w:r>
    </w:p>
  </w:footnote>
  <w:footnote w:id="49">
    <w:p w14:paraId="32890406" w14:textId="136F859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i/>
          <w:iCs/>
        </w:rPr>
        <w:t>,</w:t>
      </w:r>
      <w:r w:rsidRPr="00E97E0B">
        <w:rPr>
          <w:rFonts w:ascii="Times" w:hAnsi="Times"/>
        </w:rPr>
        <w:t xml:space="preserve"> 24-27.</w:t>
      </w:r>
    </w:p>
  </w:footnote>
  <w:footnote w:id="50">
    <w:p w14:paraId="4D6C2C86" w14:textId="1113CE6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30" w:name="_Hlk119263147"/>
      <w:r w:rsidRPr="00E97E0B">
        <w:rPr>
          <w:rFonts w:ascii="Times" w:hAnsi="Times"/>
        </w:rPr>
        <w:t xml:space="preserve">John Wilson, “Politik Söylem,” </w:t>
      </w:r>
      <w:r w:rsidRPr="00E97E0B">
        <w:rPr>
          <w:rFonts w:ascii="Times" w:hAnsi="Times"/>
          <w:i/>
          <w:iCs/>
        </w:rPr>
        <w:t>Söylem ve İdeoloji</w:t>
      </w:r>
      <w:r w:rsidRPr="00E97E0B">
        <w:rPr>
          <w:rFonts w:ascii="Times" w:hAnsi="Times"/>
        </w:rPr>
        <w:t xml:space="preserve"> içinde, Haz. Barış Çoban ve Zeynep Özarslan, 2 bs. (İstanbul: Su Yayınevi, 2015), 101.</w:t>
      </w:r>
      <w:bookmarkEnd w:id="30"/>
    </w:p>
  </w:footnote>
  <w:footnote w:id="51">
    <w:p w14:paraId="49F5026C" w14:textId="72F473B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,102.</w:t>
      </w:r>
    </w:p>
  </w:footnote>
  <w:footnote w:id="52">
    <w:p w14:paraId="576AB8BB" w14:textId="34F9388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Stephanie Taylor, “Evaluating and Applying Discourse Analytic Research,” </w:t>
      </w:r>
      <w:r w:rsidRPr="00E97E0B">
        <w:rPr>
          <w:rFonts w:ascii="Times" w:hAnsi="Times"/>
          <w:i/>
        </w:rPr>
        <w:t>Discourse as Data: A Guide for Analysis</w:t>
      </w:r>
      <w:r w:rsidRPr="00E97E0B">
        <w:rPr>
          <w:rFonts w:ascii="Times" w:hAnsi="Times"/>
        </w:rPr>
        <w:t xml:space="preserve"> içinde, Eds. M. Wetherell, S. Taylor ve S. Yates, (London: Sage Publication, 2001), 313.</w:t>
      </w:r>
    </w:p>
  </w:footnote>
  <w:footnote w:id="53">
    <w:p w14:paraId="343DD36C" w14:textId="0DBEA33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Sibel Arkonaç, </w:t>
      </w:r>
      <w:r w:rsidRPr="00E97E0B">
        <w:rPr>
          <w:rFonts w:ascii="Times" w:hAnsi="Times"/>
          <w:i/>
          <w:iCs/>
        </w:rPr>
        <w:t>Psikolojide Söz ve Anlam Analizi Niteliksel Duruş</w:t>
      </w:r>
      <w:r w:rsidRPr="00E97E0B">
        <w:rPr>
          <w:rFonts w:ascii="Times" w:hAnsi="Times"/>
        </w:rPr>
        <w:t>, 141.</w:t>
      </w:r>
    </w:p>
  </w:footnote>
  <w:footnote w:id="54">
    <w:p w14:paraId="42E4A8E1" w14:textId="6C02907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John Wilson, “Politik Söylem,” 104, 105, 119.</w:t>
      </w:r>
    </w:p>
  </w:footnote>
  <w:footnote w:id="55">
    <w:p w14:paraId="592FA6FD"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Paul Chilton, </w:t>
      </w:r>
      <w:r w:rsidRPr="00E97E0B">
        <w:rPr>
          <w:rFonts w:ascii="Times" w:hAnsi="Times"/>
          <w:i/>
          <w:iCs/>
        </w:rPr>
        <w:t>Analysing Political Discourse, Theory and Practice,</w:t>
      </w:r>
      <w:r w:rsidRPr="00E97E0B">
        <w:rPr>
          <w:rFonts w:ascii="Times" w:hAnsi="Times"/>
        </w:rPr>
        <w:t xml:space="preserve"> 202-203.</w:t>
      </w:r>
    </w:p>
  </w:footnote>
  <w:footnote w:id="56">
    <w:p w14:paraId="14261D4B" w14:textId="7F8E5F8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203.</w:t>
      </w:r>
    </w:p>
  </w:footnote>
  <w:footnote w:id="57">
    <w:p w14:paraId="153E7082" w14:textId="6CD26B3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204, 205.</w:t>
      </w:r>
    </w:p>
  </w:footnote>
  <w:footnote w:id="58">
    <w:p w14:paraId="176EEFCA"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Sibel Arkonaç, </w:t>
      </w:r>
      <w:r w:rsidRPr="00E97E0B">
        <w:rPr>
          <w:rFonts w:ascii="Times" w:hAnsi="Times"/>
          <w:i/>
          <w:iCs/>
        </w:rPr>
        <w:t>Psikolojide Söz ve Anlam Analizi Niteliksel Duruş</w:t>
      </w:r>
      <w:r w:rsidRPr="00E97E0B">
        <w:rPr>
          <w:rFonts w:ascii="Times" w:hAnsi="Times"/>
        </w:rPr>
        <w:t>, 135-138.</w:t>
      </w:r>
    </w:p>
  </w:footnote>
  <w:footnote w:id="59">
    <w:p w14:paraId="15F1D394" w14:textId="43BC811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25-28.</w:t>
      </w:r>
    </w:p>
  </w:footnote>
  <w:footnote w:id="60">
    <w:p w14:paraId="794E9B45" w14:textId="6372198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30, 32.</w:t>
      </w:r>
    </w:p>
  </w:footnote>
  <w:footnote w:id="61">
    <w:p w14:paraId="57A7A358" w14:textId="6A9F952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43.</w:t>
      </w:r>
    </w:p>
  </w:footnote>
  <w:footnote w:id="62">
    <w:p w14:paraId="55325BC8" w14:textId="03084B9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125-126.</w:t>
      </w:r>
    </w:p>
  </w:footnote>
  <w:footnote w:id="63">
    <w:p w14:paraId="07F7E851" w14:textId="77CF58F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Edibe Sözen, </w:t>
      </w:r>
      <w:r w:rsidRPr="00E97E0B">
        <w:rPr>
          <w:rFonts w:ascii="Times" w:hAnsi="Times"/>
          <w:i/>
        </w:rPr>
        <w:t>Söylem; Belirsizlik, Mübadele, Bilgi/Güç ve Refleksivite</w:t>
      </w:r>
      <w:r w:rsidRPr="00E97E0B">
        <w:rPr>
          <w:rFonts w:ascii="Times" w:hAnsi="Times"/>
        </w:rPr>
        <w:t xml:space="preserve">, </w:t>
      </w:r>
      <w:r w:rsidR="00F42D2E" w:rsidRPr="00E97E0B">
        <w:rPr>
          <w:rFonts w:ascii="Times" w:hAnsi="Times"/>
        </w:rPr>
        <w:t xml:space="preserve">(İstanbul: Profil Kitap, 2017), </w:t>
      </w:r>
      <w:r w:rsidRPr="00E97E0B">
        <w:rPr>
          <w:rFonts w:ascii="Times" w:hAnsi="Times"/>
        </w:rPr>
        <w:t>98-99.</w:t>
      </w:r>
    </w:p>
  </w:footnote>
  <w:footnote w:id="64">
    <w:p w14:paraId="4C982B0A" w14:textId="046E6B8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34" w:name="_Hlk119263647"/>
      <w:r w:rsidRPr="00E97E0B">
        <w:rPr>
          <w:rFonts w:ascii="Times" w:hAnsi="Times"/>
        </w:rPr>
        <w:t xml:space="preserve">Derek Edwards, Jonathan Potter, </w:t>
      </w:r>
      <w:r w:rsidRPr="00E97E0B">
        <w:rPr>
          <w:rFonts w:ascii="Times" w:hAnsi="Times"/>
          <w:i/>
        </w:rPr>
        <w:t>Discursive Psychology</w:t>
      </w:r>
      <w:r w:rsidRPr="00E97E0B">
        <w:rPr>
          <w:rStyle w:val="FootnoteReference"/>
          <w:rFonts w:ascii="Times" w:hAnsi="Times"/>
        </w:rPr>
        <w:t xml:space="preserve"> </w:t>
      </w:r>
      <w:r w:rsidRPr="00E97E0B">
        <w:rPr>
          <w:rFonts w:ascii="Times" w:hAnsi="Times"/>
        </w:rPr>
        <w:t>(London: Sage Publications, 1992), 3.</w:t>
      </w:r>
      <w:bookmarkEnd w:id="34"/>
    </w:p>
  </w:footnote>
  <w:footnote w:id="65">
    <w:p w14:paraId="04B800A5" w14:textId="3C0C947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xml:space="preserve">, 155-156. </w:t>
      </w:r>
    </w:p>
  </w:footnote>
  <w:footnote w:id="66">
    <w:p w14:paraId="21FD5D89" w14:textId="7E41466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35" w:name="_Hlk119263691"/>
      <w:r w:rsidRPr="00E97E0B">
        <w:rPr>
          <w:rFonts w:ascii="Times" w:hAnsi="Times"/>
        </w:rPr>
        <w:t xml:space="preserve">Vivien Burr, </w:t>
      </w:r>
      <w:r w:rsidRPr="00E97E0B">
        <w:rPr>
          <w:rFonts w:ascii="Times" w:hAnsi="Times"/>
          <w:i/>
          <w:iCs/>
        </w:rPr>
        <w:t>Social Constructivism,</w:t>
      </w:r>
      <w:r w:rsidRPr="00E97E0B">
        <w:rPr>
          <w:rFonts w:ascii="Times" w:hAnsi="Times"/>
        </w:rPr>
        <w:t xml:space="preserve"> 2. bs. (London and New York: Routledge, 2003), 16-17.</w:t>
      </w:r>
      <w:bookmarkEnd w:id="35"/>
    </w:p>
  </w:footnote>
  <w:footnote w:id="67">
    <w:p w14:paraId="0FFA0EF7" w14:textId="6543BB4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17.</w:t>
      </w:r>
    </w:p>
  </w:footnote>
  <w:footnote w:id="68">
    <w:p w14:paraId="071CC412" w14:textId="2A78D85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36" w:name="_Hlk119263810"/>
      <w:r w:rsidRPr="00E97E0B">
        <w:rPr>
          <w:rFonts w:ascii="Times" w:hAnsi="Times"/>
        </w:rPr>
        <w:t xml:space="preserve">Rom Harre, </w:t>
      </w:r>
      <w:r w:rsidRPr="00E97E0B">
        <w:rPr>
          <w:rFonts w:ascii="Times" w:hAnsi="Times"/>
          <w:i/>
          <w:iCs/>
        </w:rPr>
        <w:t>Social Being</w:t>
      </w:r>
      <w:r w:rsidRPr="00E97E0B">
        <w:rPr>
          <w:rFonts w:ascii="Times" w:hAnsi="Times"/>
        </w:rPr>
        <w:t>, 2.bs.</w:t>
      </w:r>
      <w:r w:rsidRPr="00E97E0B">
        <w:rPr>
          <w:rFonts w:ascii="Times" w:hAnsi="Times"/>
          <w:i/>
          <w:iCs/>
        </w:rPr>
        <w:t xml:space="preserve"> </w:t>
      </w:r>
      <w:r w:rsidRPr="00E97E0B">
        <w:rPr>
          <w:rFonts w:ascii="Times" w:hAnsi="Times"/>
        </w:rPr>
        <w:t>(New Jersey:</w:t>
      </w:r>
      <w:r w:rsidRPr="00E97E0B">
        <w:rPr>
          <w:rFonts w:ascii="Times" w:hAnsi="Times"/>
          <w:i/>
          <w:iCs/>
        </w:rPr>
        <w:t xml:space="preserve"> </w:t>
      </w:r>
      <w:r w:rsidRPr="00E97E0B">
        <w:rPr>
          <w:rFonts w:ascii="Times" w:hAnsi="Times"/>
        </w:rPr>
        <w:t>Blackwell Publishing, 1993), 12.</w:t>
      </w:r>
      <w:bookmarkEnd w:id="36"/>
    </w:p>
  </w:footnote>
  <w:footnote w:id="69">
    <w:p w14:paraId="759A8BB3"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Sibel Arkonaç, </w:t>
      </w:r>
      <w:r w:rsidRPr="00E97E0B">
        <w:rPr>
          <w:rFonts w:ascii="Times" w:hAnsi="Times"/>
          <w:i/>
          <w:iCs/>
        </w:rPr>
        <w:t>Psikolojide Söz ve Anlam Analizi Niteliksel Duruş,</w:t>
      </w:r>
      <w:r w:rsidRPr="00E97E0B">
        <w:rPr>
          <w:rFonts w:ascii="Times" w:hAnsi="Times"/>
        </w:rPr>
        <w:t xml:space="preserve"> 154-156.</w:t>
      </w:r>
    </w:p>
  </w:footnote>
  <w:footnote w:id="70">
    <w:p w14:paraId="44EE55D4" w14:textId="066D284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171-172.</w:t>
      </w:r>
    </w:p>
  </w:footnote>
  <w:footnote w:id="71">
    <w:p w14:paraId="065F6CFA" w14:textId="0B47CF1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Derek Layder, </w:t>
      </w:r>
      <w:r w:rsidRPr="00E97E0B">
        <w:rPr>
          <w:rFonts w:ascii="Times" w:hAnsi="Times"/>
          <w:i/>
          <w:iCs/>
        </w:rPr>
        <w:t>Understanding the Social Theory,</w:t>
      </w:r>
      <w:r w:rsidRPr="00E97E0B">
        <w:rPr>
          <w:rFonts w:ascii="Times" w:hAnsi="Times"/>
        </w:rPr>
        <w:t xml:space="preserve"> (London: Sage Publications, 1994), 115-116. </w:t>
      </w:r>
    </w:p>
  </w:footnote>
  <w:footnote w:id="72">
    <w:p w14:paraId="15E466D3"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Edibe Sözen, </w:t>
      </w:r>
      <w:r w:rsidRPr="00E97E0B">
        <w:rPr>
          <w:rFonts w:ascii="Times" w:hAnsi="Times"/>
          <w:i/>
        </w:rPr>
        <w:t>Söylem; Belirsizlik, Mübadele, Bilgi/Güç ve Refleksivite</w:t>
      </w:r>
      <w:r w:rsidRPr="00E97E0B">
        <w:rPr>
          <w:rFonts w:ascii="Times" w:hAnsi="Times"/>
        </w:rPr>
        <w:t>, 61.</w:t>
      </w:r>
    </w:p>
  </w:footnote>
  <w:footnote w:id="73">
    <w:p w14:paraId="7649625F" w14:textId="51EEF89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61-62.</w:t>
      </w:r>
    </w:p>
  </w:footnote>
  <w:footnote w:id="74">
    <w:p w14:paraId="784FDFC7" w14:textId="7E5EBB6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38" w:name="_Hlk119264009"/>
      <w:r w:rsidRPr="00E97E0B">
        <w:rPr>
          <w:rFonts w:ascii="Times" w:hAnsi="Times"/>
        </w:rPr>
        <w:t xml:space="preserve">İbrahim Doyumğaç, “Söylem Kavramı ve Metin İlişkisi,” </w:t>
      </w:r>
      <w:r w:rsidRPr="00E97E0B">
        <w:rPr>
          <w:rFonts w:ascii="Times" w:hAnsi="Times"/>
          <w:i/>
          <w:iCs/>
        </w:rPr>
        <w:t>Internation Journal of Language Academy</w:t>
      </w:r>
      <w:r w:rsidRPr="00E97E0B">
        <w:rPr>
          <w:rFonts w:ascii="Times" w:hAnsi="Times"/>
        </w:rPr>
        <w:t>, c. 6, s. 1, (Mart 2018), 43</w:t>
      </w:r>
      <w:bookmarkEnd w:id="38"/>
      <w:r w:rsidRPr="00E97E0B">
        <w:rPr>
          <w:rFonts w:ascii="Times" w:hAnsi="Times"/>
        </w:rPr>
        <w:t>.</w:t>
      </w:r>
    </w:p>
  </w:footnote>
  <w:footnote w:id="75">
    <w:p w14:paraId="2B48CC81"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Edibe Sözen, </w:t>
      </w:r>
      <w:r w:rsidRPr="00E97E0B">
        <w:rPr>
          <w:rFonts w:ascii="Times" w:hAnsi="Times"/>
          <w:i/>
        </w:rPr>
        <w:t>Söylem; Belirsizlik, Mübadele, Bilgi/Güç ve Refleksivite</w:t>
      </w:r>
      <w:r w:rsidRPr="00E97E0B">
        <w:rPr>
          <w:rFonts w:ascii="Times" w:hAnsi="Times"/>
        </w:rPr>
        <w:t xml:space="preserve">, 83; Sibel Arkonaç, </w:t>
      </w:r>
      <w:r w:rsidRPr="00E97E0B">
        <w:rPr>
          <w:rFonts w:ascii="Times" w:hAnsi="Times"/>
          <w:i/>
          <w:iCs/>
        </w:rPr>
        <w:t>Psikolojide Söz ve Anlam Analizi Niteliksel Duruş,</w:t>
      </w:r>
      <w:r w:rsidRPr="00E97E0B">
        <w:rPr>
          <w:rFonts w:ascii="Times" w:hAnsi="Times"/>
        </w:rPr>
        <w:t xml:space="preserve"> 175.</w:t>
      </w:r>
    </w:p>
  </w:footnote>
  <w:footnote w:id="76">
    <w:p w14:paraId="22DA4A68" w14:textId="1AE64CD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39" w:name="_Hlk119264071"/>
      <w:r w:rsidRPr="00E97E0B">
        <w:rPr>
          <w:rFonts w:ascii="Times" w:hAnsi="Times"/>
        </w:rPr>
        <w:t xml:space="preserve">Yasin Şahin, “Michel Faoucault’da Söylem Analizi,” </w:t>
      </w:r>
      <w:r w:rsidRPr="00E97E0B">
        <w:rPr>
          <w:rFonts w:ascii="Times" w:hAnsi="Times"/>
          <w:i/>
          <w:iCs/>
        </w:rPr>
        <w:t>Sosyal ve Kültürel Araştırmalar Dergisi (SKAD</w:t>
      </w:r>
      <w:r w:rsidRPr="00E97E0B">
        <w:rPr>
          <w:rFonts w:ascii="Times" w:hAnsi="Times"/>
        </w:rPr>
        <w:t>), c. 3. s. 6, (2017), 127.</w:t>
      </w:r>
      <w:bookmarkEnd w:id="39"/>
    </w:p>
  </w:footnote>
  <w:footnote w:id="77">
    <w:p w14:paraId="2B652D95" w14:textId="24256A3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40" w:name="_Hlk119264175"/>
      <w:r w:rsidRPr="00E97E0B">
        <w:rPr>
          <w:rFonts w:ascii="Times" w:hAnsi="Times"/>
        </w:rPr>
        <w:t xml:space="preserve">Nur Vergin, </w:t>
      </w:r>
      <w:r w:rsidRPr="00E97E0B">
        <w:rPr>
          <w:rFonts w:ascii="Times" w:hAnsi="Times"/>
          <w:i/>
          <w:iCs/>
        </w:rPr>
        <w:t>Siyasetin Sosyolojisi: Kavramlar Tanmımlar, Yaklaşımlar</w:t>
      </w:r>
      <w:r w:rsidRPr="00E97E0B">
        <w:rPr>
          <w:rFonts w:ascii="Times" w:hAnsi="Times"/>
        </w:rPr>
        <w:t>, 6. bs. (İstanbul: Doğan Kitap, 2008), 285-286.</w:t>
      </w:r>
      <w:bookmarkEnd w:id="40"/>
    </w:p>
  </w:footnote>
  <w:footnote w:id="78">
    <w:p w14:paraId="639270A3" w14:textId="1CE01A1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41" w:name="_Hlk119264271"/>
      <w:r w:rsidRPr="00E97E0B">
        <w:rPr>
          <w:rFonts w:ascii="Times" w:hAnsi="Times"/>
        </w:rPr>
        <w:t xml:space="preserve">Tezcan Durna ve Çağla Kubilay, “Söylem Kuramları ve Eleştirel Söylem Çözümlemesi,” içinde </w:t>
      </w:r>
      <w:r w:rsidRPr="00E97E0B">
        <w:rPr>
          <w:rFonts w:ascii="Times" w:hAnsi="Times"/>
          <w:i/>
          <w:iCs/>
        </w:rPr>
        <w:t>Medyadan Söylemler</w:t>
      </w:r>
      <w:r w:rsidRPr="00E97E0B">
        <w:rPr>
          <w:rFonts w:ascii="Times" w:hAnsi="Times"/>
        </w:rPr>
        <w:t>, ed</w:t>
      </w:r>
      <w:r w:rsidR="00DE481E" w:rsidRPr="00E97E0B">
        <w:rPr>
          <w:rFonts w:ascii="Times" w:hAnsi="Times"/>
        </w:rPr>
        <w:t>.</w:t>
      </w:r>
      <w:r w:rsidRPr="00E97E0B">
        <w:rPr>
          <w:rFonts w:ascii="Times" w:hAnsi="Times"/>
        </w:rPr>
        <w:t xml:space="preserve"> Tezcan Durna, (İstanbul: Libra Kitap, 2010), 58.</w:t>
      </w:r>
      <w:bookmarkEnd w:id="41"/>
    </w:p>
  </w:footnote>
  <w:footnote w:id="79">
    <w:p w14:paraId="03F8104F" w14:textId="05B43EC5"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52.</w:t>
      </w:r>
    </w:p>
  </w:footnote>
  <w:footnote w:id="80">
    <w:p w14:paraId="5E965A2C"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Derek Layder, </w:t>
      </w:r>
      <w:r w:rsidRPr="00E97E0B">
        <w:rPr>
          <w:rFonts w:ascii="Times" w:hAnsi="Times"/>
          <w:i/>
          <w:iCs/>
        </w:rPr>
        <w:t>Understanding the Social Theory</w:t>
      </w:r>
      <w:r w:rsidRPr="00E97E0B">
        <w:rPr>
          <w:rFonts w:ascii="Times" w:hAnsi="Times"/>
        </w:rPr>
        <w:t>, 127.</w:t>
      </w:r>
    </w:p>
  </w:footnote>
  <w:footnote w:id="81">
    <w:p w14:paraId="490E4205"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Sibel Arkonaç, </w:t>
      </w:r>
      <w:r w:rsidRPr="00E97E0B">
        <w:rPr>
          <w:rFonts w:ascii="Times" w:hAnsi="Times"/>
          <w:i/>
          <w:iCs/>
        </w:rPr>
        <w:t>Psikolojide Söz ve Anlam Analizi Niteliksel Duruş</w:t>
      </w:r>
      <w:r w:rsidRPr="00E97E0B">
        <w:rPr>
          <w:rFonts w:ascii="Times" w:hAnsi="Times"/>
        </w:rPr>
        <w:t>, 192-200.</w:t>
      </w:r>
    </w:p>
  </w:footnote>
  <w:footnote w:id="82">
    <w:p w14:paraId="43079335" w14:textId="0C5F581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177-187.</w:t>
      </w:r>
    </w:p>
  </w:footnote>
  <w:footnote w:id="83">
    <w:p w14:paraId="14A7267B" w14:textId="11B6929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177-187.</w:t>
      </w:r>
    </w:p>
  </w:footnote>
  <w:footnote w:id="84">
    <w:p w14:paraId="6B7C086F" w14:textId="15F375D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43" w:name="_Hlk119264973"/>
      <w:r w:rsidRPr="00E97E0B">
        <w:rPr>
          <w:rFonts w:ascii="Times" w:hAnsi="Times"/>
        </w:rPr>
        <w:t xml:space="preserve">Norman Fairclough ve Phil Graham, “Eleştirel Söylem Çözümlemecisi olarak Marx: Eleştirel Yöntemin Yaratılışı ve Küresel Sermayenin Eleştirisi ile Bağlantısı,” </w:t>
      </w:r>
      <w:r w:rsidRPr="00E97E0B">
        <w:rPr>
          <w:rFonts w:ascii="Times" w:hAnsi="Times"/>
          <w:i/>
        </w:rPr>
        <w:t>Söylem ve İdeoloji</w:t>
      </w:r>
      <w:r w:rsidRPr="00E97E0B">
        <w:rPr>
          <w:rFonts w:ascii="Times" w:hAnsi="Times"/>
        </w:rPr>
        <w:t xml:space="preserve"> içinde, Haz. Barış Çoban ve Zeynep Özarslan, (İstanbul: Su Yayınevi, 2015), 150</w:t>
      </w:r>
      <w:bookmarkEnd w:id="43"/>
    </w:p>
  </w:footnote>
  <w:footnote w:id="85">
    <w:p w14:paraId="105C7CAB"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Edibe Sözen, </w:t>
      </w:r>
      <w:r w:rsidRPr="00E97E0B">
        <w:rPr>
          <w:rFonts w:ascii="Times" w:hAnsi="Times"/>
          <w:i/>
          <w:iCs/>
        </w:rPr>
        <w:t>Söylem Belirsizlik, Mübadele, Bilgi, Güç ve Refleksivite</w:t>
      </w:r>
      <w:r w:rsidRPr="00E97E0B">
        <w:rPr>
          <w:rFonts w:ascii="Times" w:hAnsi="Times"/>
        </w:rPr>
        <w:t>, 139-140.</w:t>
      </w:r>
    </w:p>
  </w:footnote>
  <w:footnote w:id="86">
    <w:p w14:paraId="472766CA" w14:textId="373546E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44" w:name="_Hlk119264823"/>
      <w:r w:rsidRPr="00E97E0B">
        <w:rPr>
          <w:rFonts w:ascii="Times" w:hAnsi="Times"/>
        </w:rPr>
        <w:t xml:space="preserve">Teun A. Van Dijk, “Critical Discourse Analysis,” </w:t>
      </w:r>
      <w:r w:rsidRPr="00E97E0B">
        <w:rPr>
          <w:rFonts w:ascii="Times" w:hAnsi="Times"/>
          <w:i/>
          <w:iCs/>
        </w:rPr>
        <w:t>Handbook of Discourse Analysis</w:t>
      </w:r>
      <w:r w:rsidRPr="00E97E0B">
        <w:rPr>
          <w:rFonts w:ascii="Times" w:hAnsi="Times"/>
        </w:rPr>
        <w:t xml:space="preserve"> içinde, D. Tannen, H. Hamilton ve D. Schiffrin, 2. bs. (Chichester: Wiley Blackwell, 2015), s. 467</w:t>
      </w:r>
      <w:bookmarkEnd w:id="44"/>
    </w:p>
  </w:footnote>
  <w:footnote w:id="87">
    <w:p w14:paraId="4D9F35D7" w14:textId="306278FE"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45" w:name="_Hlk119265302"/>
      <w:r w:rsidRPr="00E97E0B">
        <w:rPr>
          <w:rFonts w:ascii="Times" w:hAnsi="Times"/>
        </w:rPr>
        <w:t xml:space="preserve">Norman Fairclough, “The Discourse of New Labour Critical Discourse Analysis,” </w:t>
      </w:r>
      <w:r w:rsidRPr="00E97E0B">
        <w:rPr>
          <w:rFonts w:ascii="Times" w:hAnsi="Times"/>
          <w:i/>
        </w:rPr>
        <w:t>Discourse as Data: A Guide for Analysis</w:t>
      </w:r>
      <w:r w:rsidRPr="00E97E0B">
        <w:rPr>
          <w:rFonts w:ascii="Times" w:hAnsi="Times"/>
        </w:rPr>
        <w:t xml:space="preserve"> içinde, Eds Margaret Wetherell, Stephanie Taylor ve Simeon J. Yates, (London: Sage Publications, 2001), 229-230.</w:t>
      </w:r>
      <w:bookmarkEnd w:id="45"/>
    </w:p>
  </w:footnote>
  <w:footnote w:id="88">
    <w:p w14:paraId="6FE14681"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Norman Fairclough, </w:t>
      </w:r>
      <w:r w:rsidRPr="00E97E0B">
        <w:rPr>
          <w:rFonts w:ascii="Times" w:hAnsi="Times"/>
          <w:i/>
          <w:iCs/>
        </w:rPr>
        <w:t>Discourse and Social Change</w:t>
      </w:r>
      <w:r w:rsidRPr="00E97E0B">
        <w:rPr>
          <w:rFonts w:ascii="Times" w:hAnsi="Times"/>
        </w:rPr>
        <w:t>, 74-75.</w:t>
      </w:r>
    </w:p>
  </w:footnote>
  <w:footnote w:id="89">
    <w:p w14:paraId="305AB50E" w14:textId="199E9B8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Norman Fairclough, “The Discourse of New Labour Critical Discourse Analysis,” 230.</w:t>
      </w:r>
    </w:p>
  </w:footnote>
  <w:footnote w:id="90">
    <w:p w14:paraId="22E0AD09" w14:textId="74FC738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46" w:name="_Hlk119265293"/>
      <w:r w:rsidRPr="00E97E0B">
        <w:rPr>
          <w:rFonts w:ascii="Times" w:hAnsi="Times"/>
        </w:rPr>
        <w:t xml:space="preserve">Kalle J. Lyytinen ve Heinz K. Klein, “The Critical Theory of Jürgen Habermas,” </w:t>
      </w:r>
      <w:r w:rsidRPr="00E97E0B">
        <w:rPr>
          <w:rFonts w:ascii="Times" w:hAnsi="Times"/>
          <w:i/>
        </w:rPr>
        <w:t>Research Methods in Information Systems</w:t>
      </w:r>
      <w:r w:rsidRPr="00E97E0B">
        <w:rPr>
          <w:rFonts w:ascii="Times" w:hAnsi="Times"/>
        </w:rPr>
        <w:t xml:space="preserve"> içinde, (Eds) E. Mumford et al. (North-Holland: Elsevier Science Publishers, 1985), 213</w:t>
      </w:r>
      <w:bookmarkEnd w:id="46"/>
      <w:r w:rsidRPr="00E97E0B">
        <w:rPr>
          <w:rFonts w:ascii="Times" w:hAnsi="Times"/>
        </w:rPr>
        <w:t>.</w:t>
      </w:r>
    </w:p>
  </w:footnote>
  <w:footnote w:id="91">
    <w:p w14:paraId="205AE8AB" w14:textId="7B60C0B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21.</w:t>
      </w:r>
    </w:p>
  </w:footnote>
  <w:footnote w:id="92">
    <w:p w14:paraId="5A9CBD03" w14:textId="50BC70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Norman Fairclough, “The Discourse of New Labour Critical Discourse Analysis,” 232.</w:t>
      </w:r>
    </w:p>
  </w:footnote>
  <w:footnote w:id="93">
    <w:p w14:paraId="4A0C1493" w14:textId="2231FE0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47" w:name="_Hlk119265488"/>
      <w:r w:rsidRPr="00E97E0B">
        <w:rPr>
          <w:rFonts w:ascii="Times" w:hAnsi="Times"/>
        </w:rPr>
        <w:t xml:space="preserve">Michel Foucault, </w:t>
      </w:r>
      <w:r w:rsidRPr="00E97E0B">
        <w:rPr>
          <w:rFonts w:ascii="Times" w:hAnsi="Times"/>
          <w:i/>
          <w:iCs/>
        </w:rPr>
        <w:t>L’ordre du discours, Editions</w:t>
      </w:r>
      <w:r w:rsidRPr="00E97E0B">
        <w:rPr>
          <w:rFonts w:ascii="Times" w:hAnsi="Times"/>
        </w:rPr>
        <w:t xml:space="preserve"> (Paris: Gallimard, 1971), 44-47.</w:t>
      </w:r>
      <w:bookmarkEnd w:id="47"/>
    </w:p>
  </w:footnote>
  <w:footnote w:id="94">
    <w:p w14:paraId="4C7E283D" w14:textId="41BBD52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Norman Fairclough, “The Discourse of New Labour Critical Discourse Analysis,” 234-236.</w:t>
      </w:r>
    </w:p>
  </w:footnote>
  <w:footnote w:id="95">
    <w:p w14:paraId="1EDA8806" w14:textId="70F79E1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Ag.e., 235.</w:t>
      </w:r>
    </w:p>
  </w:footnote>
  <w:footnote w:id="96">
    <w:p w14:paraId="40A11C2E" w14:textId="0B3246A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243-244.</w:t>
      </w:r>
    </w:p>
  </w:footnote>
  <w:footnote w:id="97">
    <w:p w14:paraId="7FC2EDEB" w14:textId="21EC445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48" w:name="_Hlk119265528"/>
      <w:r w:rsidRPr="00E97E0B">
        <w:rPr>
          <w:rFonts w:ascii="Times" w:hAnsi="Times"/>
        </w:rPr>
        <w:t xml:space="preserve">Marianne W. Jorgensen, Louise J. Phillips, </w:t>
      </w:r>
      <w:r w:rsidRPr="00E97E0B">
        <w:rPr>
          <w:rFonts w:ascii="Times" w:hAnsi="Times"/>
          <w:i/>
          <w:iCs/>
        </w:rPr>
        <w:t>Discourse Analysis as Theory and Method</w:t>
      </w:r>
      <w:r w:rsidRPr="00E97E0B">
        <w:rPr>
          <w:rFonts w:ascii="Times" w:hAnsi="Times"/>
        </w:rPr>
        <w:t>, (London: Sage Publications, 2002), 81-82.</w:t>
      </w:r>
      <w:bookmarkEnd w:id="48"/>
    </w:p>
  </w:footnote>
  <w:footnote w:id="98">
    <w:p w14:paraId="742E4F12" w14:textId="41ACE24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83.</w:t>
      </w:r>
    </w:p>
  </w:footnote>
  <w:footnote w:id="99">
    <w:p w14:paraId="2F9C6BBD" w14:textId="56595B9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86.</w:t>
      </w:r>
    </w:p>
  </w:footnote>
  <w:footnote w:id="100">
    <w:p w14:paraId="1EDDF16D" w14:textId="019961E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49" w:name="_Hlk119265618"/>
      <w:r w:rsidRPr="00E97E0B">
        <w:rPr>
          <w:rFonts w:ascii="Times" w:hAnsi="Times"/>
        </w:rPr>
        <w:t xml:space="preserve">Umut Şah, “Eleştirel Söylem Analizi: Temel Yaklaşımlar,” </w:t>
      </w:r>
      <w:r w:rsidRPr="00E97E0B">
        <w:rPr>
          <w:rFonts w:ascii="Times" w:hAnsi="Times"/>
          <w:i/>
          <w:iCs/>
        </w:rPr>
        <w:t>Kültür Araştırmaları Dergisi</w:t>
      </w:r>
      <w:r w:rsidRPr="00E97E0B">
        <w:rPr>
          <w:rFonts w:ascii="Times" w:hAnsi="Times"/>
        </w:rPr>
        <w:t xml:space="preserve">, </w:t>
      </w:r>
      <w:r w:rsidR="00647343" w:rsidRPr="00E97E0B">
        <w:rPr>
          <w:rFonts w:ascii="Times" w:hAnsi="Times"/>
        </w:rPr>
        <w:t>s</w:t>
      </w:r>
      <w:r w:rsidRPr="00E97E0B">
        <w:rPr>
          <w:rFonts w:ascii="Times" w:hAnsi="Times"/>
        </w:rPr>
        <w:t>. 7, (2020), 216.</w:t>
      </w:r>
      <w:bookmarkEnd w:id="49"/>
    </w:p>
  </w:footnote>
  <w:footnote w:id="101">
    <w:p w14:paraId="4383AC2D" w14:textId="0059A2E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50" w:name="_Hlk119265613"/>
      <w:r w:rsidRPr="00E97E0B">
        <w:rPr>
          <w:rFonts w:ascii="Times" w:hAnsi="Times"/>
        </w:rPr>
        <w:t xml:space="preserve">Teun A. Van Dijk, “Principles of Critical Discourse Analysis,” </w:t>
      </w:r>
      <w:r w:rsidRPr="00E97E0B">
        <w:rPr>
          <w:rFonts w:ascii="Times" w:hAnsi="Times"/>
          <w:i/>
          <w:iCs/>
        </w:rPr>
        <w:t>Discourse and Society,</w:t>
      </w:r>
      <w:r w:rsidRPr="00E97E0B">
        <w:rPr>
          <w:rFonts w:ascii="Times" w:hAnsi="Times"/>
        </w:rPr>
        <w:t xml:space="preserve"> c. 4, </w:t>
      </w:r>
      <w:r w:rsidR="00647343" w:rsidRPr="00E97E0B">
        <w:rPr>
          <w:rFonts w:ascii="Times" w:hAnsi="Times"/>
        </w:rPr>
        <w:t>s</w:t>
      </w:r>
      <w:r w:rsidRPr="00E97E0B">
        <w:rPr>
          <w:rFonts w:ascii="Times" w:hAnsi="Times"/>
        </w:rPr>
        <w:t>. 2, (1993), 254.</w:t>
      </w:r>
      <w:bookmarkEnd w:id="50"/>
    </w:p>
  </w:footnote>
  <w:footnote w:id="102">
    <w:p w14:paraId="2D71226D" w14:textId="45AA19E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51" w:name="_Hlk119265794"/>
      <w:r w:rsidRPr="00E97E0B">
        <w:rPr>
          <w:rFonts w:ascii="Times" w:hAnsi="Times"/>
        </w:rPr>
        <w:t xml:space="preserve">Teun A. Van Dijk, “Discourse, Power and Access,” </w:t>
      </w:r>
      <w:r w:rsidRPr="00E97E0B">
        <w:rPr>
          <w:rFonts w:ascii="Times" w:hAnsi="Times"/>
          <w:i/>
        </w:rPr>
        <w:t>Texts and practices: readings in critical discourse analysis</w:t>
      </w:r>
      <w:r w:rsidRPr="00E97E0B">
        <w:rPr>
          <w:rFonts w:ascii="Times" w:hAnsi="Times"/>
        </w:rPr>
        <w:t xml:space="preserve"> içinde Eds. Carmen Rosa Caldas-Coulthard ve Malcolm Coulthard, (London and New York: Routledge, 1996), 85.</w:t>
      </w:r>
      <w:bookmarkEnd w:id="51"/>
    </w:p>
  </w:footnote>
  <w:footnote w:id="103">
    <w:p w14:paraId="68426E89" w14:textId="7BD656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84.</w:t>
      </w:r>
    </w:p>
  </w:footnote>
  <w:footnote w:id="104">
    <w:p w14:paraId="57976DC9" w14:textId="29BF51A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76.</w:t>
      </w:r>
    </w:p>
  </w:footnote>
  <w:footnote w:id="105">
    <w:p w14:paraId="675BA710" w14:textId="77777777" w:rsidR="003C2413" w:rsidRPr="00E97E0B" w:rsidRDefault="003C2413" w:rsidP="007D5BD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Sibel Arkonaç, </w:t>
      </w:r>
      <w:r w:rsidRPr="00E97E0B">
        <w:rPr>
          <w:rFonts w:ascii="Times" w:hAnsi="Times"/>
          <w:i/>
          <w:iCs/>
        </w:rPr>
        <w:t>Psikolojide Söz ve Anlam Analizi: Niteliksel Duruş</w:t>
      </w:r>
      <w:r w:rsidRPr="00E97E0B">
        <w:rPr>
          <w:rFonts w:ascii="Times" w:hAnsi="Times"/>
        </w:rPr>
        <w:t>, 230-231.</w:t>
      </w:r>
    </w:p>
  </w:footnote>
  <w:footnote w:id="106">
    <w:p w14:paraId="4224F1FF" w14:textId="1AE60368" w:rsidR="003C2413" w:rsidRPr="00E97E0B" w:rsidRDefault="003C2413" w:rsidP="007D5BD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52" w:name="_Hlk119265929"/>
      <w:r w:rsidRPr="00E97E0B">
        <w:rPr>
          <w:rFonts w:ascii="Times" w:hAnsi="Times"/>
        </w:rPr>
        <w:t xml:space="preserve">Teun A. van Dijk, “Opinions and ideologies in the press,” A. Bell ve P. Garrett (Eds.), </w:t>
      </w:r>
      <w:r w:rsidRPr="00E97E0B">
        <w:rPr>
          <w:rFonts w:ascii="Times" w:hAnsi="Times"/>
          <w:i/>
          <w:iCs/>
        </w:rPr>
        <w:t>Approaches to Media Discourse</w:t>
      </w:r>
      <w:r w:rsidRPr="00E97E0B">
        <w:rPr>
          <w:rFonts w:ascii="Times" w:hAnsi="Times"/>
        </w:rPr>
        <w:t xml:space="preserve"> içinde (Oxford: Blackwel, 1998), l1-63’den aktaran Tezcan Durna ve Çağla Kubilay, “Söylem Kuramları ve Eleştirel Söylem Çözümlemesi,” </w:t>
      </w:r>
      <w:r w:rsidRPr="00E97E0B">
        <w:rPr>
          <w:rFonts w:ascii="Times" w:hAnsi="Times"/>
          <w:i/>
        </w:rPr>
        <w:t>Medyadan Söylemler</w:t>
      </w:r>
      <w:r w:rsidRPr="00E97E0B">
        <w:rPr>
          <w:rFonts w:ascii="Times" w:hAnsi="Times"/>
        </w:rPr>
        <w:t xml:space="preserve"> içinde </w:t>
      </w:r>
      <w:r w:rsidR="009F3D97" w:rsidRPr="00E97E0B">
        <w:rPr>
          <w:rFonts w:ascii="Times" w:hAnsi="Times"/>
        </w:rPr>
        <w:t>ed.</w:t>
      </w:r>
      <w:r w:rsidRPr="00E97E0B">
        <w:rPr>
          <w:rFonts w:ascii="Times" w:hAnsi="Times"/>
        </w:rPr>
        <w:t xml:space="preserve"> Tezcan Durna, 1. bs. (İstanbul: Libra Kitap, 2010), 71. </w:t>
      </w:r>
      <w:bookmarkEnd w:id="52"/>
    </w:p>
  </w:footnote>
  <w:footnote w:id="107">
    <w:p w14:paraId="1E648DAB"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Sibel A. Arkonaç, </w:t>
      </w:r>
      <w:r w:rsidRPr="00E97E0B">
        <w:rPr>
          <w:rFonts w:ascii="Times" w:hAnsi="Times"/>
          <w:i/>
          <w:iCs/>
        </w:rPr>
        <w:t>Psikolojide Söz ve Anlam Analizi: Niteliksel Duruş</w:t>
      </w:r>
      <w:r w:rsidRPr="00E97E0B">
        <w:rPr>
          <w:rFonts w:ascii="Times" w:hAnsi="Times"/>
        </w:rPr>
        <w:t>, 231-234.</w:t>
      </w:r>
    </w:p>
  </w:footnote>
  <w:footnote w:id="108">
    <w:p w14:paraId="129B9E48" w14:textId="6657435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Tezcan Durna ve Çağla Kubilay, “Söylem Kuramları ve Eleştirel Söylem Çözümlemesi,” 70.</w:t>
      </w:r>
    </w:p>
  </w:footnote>
  <w:footnote w:id="109">
    <w:p w14:paraId="7713FCBB"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Sibel A. Arkonaç, </w:t>
      </w:r>
      <w:r w:rsidRPr="00E97E0B">
        <w:rPr>
          <w:rFonts w:ascii="Times" w:hAnsi="Times"/>
          <w:i/>
          <w:iCs/>
        </w:rPr>
        <w:t>Psikolojide Söz ve Anlam Analizi: Niteliksel Duruş</w:t>
      </w:r>
      <w:r w:rsidRPr="00E97E0B">
        <w:rPr>
          <w:rFonts w:ascii="Times" w:hAnsi="Times"/>
        </w:rPr>
        <w:t>, 220-223.</w:t>
      </w:r>
    </w:p>
  </w:footnote>
  <w:footnote w:id="110">
    <w:p w14:paraId="54D38433"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Ruth Wodak, </w:t>
      </w:r>
      <w:r w:rsidRPr="00E97E0B">
        <w:rPr>
          <w:rFonts w:ascii="Times" w:hAnsi="Times"/>
          <w:i/>
          <w:iCs/>
        </w:rPr>
        <w:t>Discourse Studies: Important Concepts and Terms</w:t>
      </w:r>
      <w:r w:rsidRPr="00E97E0B">
        <w:rPr>
          <w:rFonts w:ascii="Times" w:hAnsi="Times"/>
        </w:rPr>
        <w:t>, 8.</w:t>
      </w:r>
    </w:p>
  </w:footnote>
  <w:footnote w:id="111">
    <w:p w14:paraId="51837284"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Sibel A. Arkonaç, </w:t>
      </w:r>
      <w:r w:rsidRPr="00E97E0B">
        <w:rPr>
          <w:rFonts w:ascii="Times" w:hAnsi="Times"/>
          <w:i/>
          <w:iCs/>
        </w:rPr>
        <w:t>Psikolojide Söz ve Anlam Analizi: Niteliksel Duruş</w:t>
      </w:r>
      <w:r w:rsidRPr="00E97E0B">
        <w:rPr>
          <w:rFonts w:ascii="Times" w:hAnsi="Times"/>
        </w:rPr>
        <w:t>, 226.</w:t>
      </w:r>
    </w:p>
  </w:footnote>
  <w:footnote w:id="112">
    <w:p w14:paraId="3ACD1190" w14:textId="686E814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219-220.</w:t>
      </w:r>
    </w:p>
  </w:footnote>
  <w:footnote w:id="113">
    <w:p w14:paraId="68279275" w14:textId="3089F54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54" w:name="_Hlk119266036"/>
      <w:r w:rsidRPr="00E97E0B">
        <w:rPr>
          <w:rFonts w:ascii="Times" w:hAnsi="Times"/>
        </w:rPr>
        <w:t xml:space="preserve">Terry Eagleton, </w:t>
      </w:r>
      <w:r w:rsidRPr="00E97E0B">
        <w:rPr>
          <w:rFonts w:ascii="Times" w:hAnsi="Times"/>
          <w:i/>
          <w:iCs/>
        </w:rPr>
        <w:t>İdeoloji,</w:t>
      </w:r>
      <w:r w:rsidRPr="00E97E0B">
        <w:rPr>
          <w:rFonts w:ascii="Times" w:hAnsi="Times"/>
        </w:rPr>
        <w:t xml:space="preserve"> (İstanbul: Ayrıntı Kitabevi, 1996), 17</w:t>
      </w:r>
      <w:bookmarkEnd w:id="54"/>
      <w:r w:rsidRPr="00E97E0B">
        <w:rPr>
          <w:rFonts w:ascii="Times" w:hAnsi="Times"/>
        </w:rPr>
        <w:t>.</w:t>
      </w:r>
    </w:p>
  </w:footnote>
  <w:footnote w:id="114">
    <w:p w14:paraId="512A87D7" w14:textId="4BFDBA2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17.</w:t>
      </w:r>
    </w:p>
  </w:footnote>
  <w:footnote w:id="115">
    <w:p w14:paraId="67AA2E2D" w14:textId="773EBA0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55" w:name="_Hlk119266105"/>
      <w:r w:rsidRPr="00E97E0B">
        <w:rPr>
          <w:rFonts w:ascii="Times" w:hAnsi="Times"/>
        </w:rPr>
        <w:t xml:space="preserve">Fatma Çakmak ve Yasemin Bilişli, “İdeoloji Söylem ve İletişim Çalışmalarında Ruth Wodak,” </w:t>
      </w:r>
      <w:r w:rsidRPr="00E97E0B">
        <w:rPr>
          <w:rFonts w:ascii="Times" w:hAnsi="Times"/>
          <w:i/>
          <w:iCs/>
        </w:rPr>
        <w:t>Anadolu Üniversitesi Sosyal Bilimler Dergisi,</w:t>
      </w:r>
      <w:r w:rsidRPr="00E97E0B">
        <w:rPr>
          <w:rFonts w:ascii="Times" w:hAnsi="Times"/>
        </w:rPr>
        <w:t xml:space="preserve"> c.19, s. 2 (Eskişehir, 2019), 100-101.</w:t>
      </w:r>
      <w:bookmarkEnd w:id="55"/>
    </w:p>
  </w:footnote>
  <w:footnote w:id="116">
    <w:p w14:paraId="06BA63D8" w14:textId="24B9F5E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Lane Robert, </w:t>
      </w:r>
      <w:r w:rsidRPr="00E97E0B">
        <w:rPr>
          <w:rFonts w:ascii="Times" w:hAnsi="Times"/>
          <w:i/>
          <w:iCs/>
        </w:rPr>
        <w:t>Political Ideology: Why the American Common Man Believes What He Does,</w:t>
      </w:r>
      <w:r w:rsidRPr="00E97E0B">
        <w:rPr>
          <w:rFonts w:ascii="Times" w:hAnsi="Times"/>
        </w:rPr>
        <w:t xml:space="preserve"> (Free Press, New York: 1962)’den aktaran: </w:t>
      </w:r>
      <w:bookmarkStart w:id="57" w:name="_Hlk119266176"/>
      <w:r w:rsidRPr="00E97E0B">
        <w:rPr>
          <w:rFonts w:ascii="Times" w:hAnsi="Times"/>
        </w:rPr>
        <w:t xml:space="preserve">John Geering, </w:t>
      </w:r>
      <w:r w:rsidRPr="00E97E0B">
        <w:rPr>
          <w:rFonts w:ascii="Times" w:hAnsi="Times"/>
          <w:i/>
          <w:iCs/>
        </w:rPr>
        <w:t>Ideology: A definitional Analysis</w:t>
      </w:r>
      <w:r w:rsidRPr="00E97E0B">
        <w:rPr>
          <w:rFonts w:ascii="Times" w:hAnsi="Times"/>
        </w:rPr>
        <w:t>, (London: Sage Publlications, 1997), 958.</w:t>
      </w:r>
      <w:bookmarkEnd w:id="57"/>
    </w:p>
  </w:footnote>
  <w:footnote w:id="117">
    <w:p w14:paraId="379513BC" w14:textId="3F5046B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58" w:name="_Hlk119266205"/>
      <w:r w:rsidRPr="00E97E0B">
        <w:rPr>
          <w:rFonts w:ascii="Times" w:hAnsi="Times"/>
        </w:rPr>
        <w:t xml:space="preserve">Karl Mannheim, </w:t>
      </w:r>
      <w:r w:rsidRPr="00E97E0B">
        <w:rPr>
          <w:rFonts w:ascii="Times" w:hAnsi="Times"/>
          <w:i/>
          <w:iCs/>
        </w:rPr>
        <w:t>Ideology and Utopia</w:t>
      </w:r>
      <w:r w:rsidRPr="00E97E0B">
        <w:rPr>
          <w:rFonts w:ascii="Times" w:hAnsi="Times"/>
        </w:rPr>
        <w:t>, (London: Routledge, 1998), 84.</w:t>
      </w:r>
      <w:bookmarkEnd w:id="58"/>
    </w:p>
  </w:footnote>
  <w:footnote w:id="118">
    <w:p w14:paraId="6D22EAF6" w14:textId="282661C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59" w:name="_Hlk119266325"/>
      <w:r w:rsidRPr="00E97E0B">
        <w:rPr>
          <w:rFonts w:ascii="Times" w:hAnsi="Times"/>
        </w:rPr>
        <w:t xml:space="preserve">Bjørn Ramberg, </w:t>
      </w:r>
      <w:r w:rsidRPr="00E97E0B">
        <w:rPr>
          <w:rFonts w:ascii="Times" w:hAnsi="Times"/>
          <w:i/>
          <w:iCs/>
        </w:rPr>
        <w:t>Davidson’s Philosophy of Language</w:t>
      </w:r>
      <w:r w:rsidRPr="00E97E0B">
        <w:rPr>
          <w:rFonts w:ascii="Times" w:hAnsi="Times"/>
        </w:rPr>
        <w:t>, (New Jersey: Wiley-Blackwell Publishing, 1991), 47.</w:t>
      </w:r>
      <w:bookmarkEnd w:id="59"/>
    </w:p>
  </w:footnote>
  <w:footnote w:id="119">
    <w:p w14:paraId="6F9CCD22"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Terry Eagleton, </w:t>
      </w:r>
      <w:r w:rsidRPr="00E97E0B">
        <w:rPr>
          <w:rFonts w:ascii="Times" w:hAnsi="Times"/>
          <w:i/>
          <w:iCs/>
        </w:rPr>
        <w:t>İdeoloji</w:t>
      </w:r>
      <w:r w:rsidRPr="00E97E0B">
        <w:rPr>
          <w:rFonts w:ascii="Times" w:hAnsi="Times"/>
        </w:rPr>
        <w:t>, 35, 38.</w:t>
      </w:r>
    </w:p>
  </w:footnote>
  <w:footnote w:id="120">
    <w:p w14:paraId="6D769599" w14:textId="667CB0D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25.</w:t>
      </w:r>
    </w:p>
  </w:footnote>
  <w:footnote w:id="121">
    <w:p w14:paraId="7955FF59" w14:textId="7F8242E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27-28.</w:t>
      </w:r>
    </w:p>
  </w:footnote>
  <w:footnote w:id="122">
    <w:p w14:paraId="7331E168" w14:textId="6D95DBD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55-57.</w:t>
      </w:r>
    </w:p>
  </w:footnote>
  <w:footnote w:id="123">
    <w:p w14:paraId="5BA13828" w14:textId="2097740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61" w:name="_Hlk119266414"/>
      <w:r w:rsidRPr="00E97E0B">
        <w:rPr>
          <w:rFonts w:ascii="Times" w:hAnsi="Times"/>
        </w:rPr>
        <w:t xml:space="preserve">Jan Rehmann, </w:t>
      </w:r>
      <w:r w:rsidRPr="00E97E0B">
        <w:rPr>
          <w:rFonts w:ascii="Times" w:hAnsi="Times"/>
          <w:i/>
          <w:iCs/>
        </w:rPr>
        <w:t>Theories of Ideology: The Powers of Alienation and Subjection</w:t>
      </w:r>
      <w:r w:rsidRPr="00E97E0B">
        <w:rPr>
          <w:rFonts w:ascii="Times" w:hAnsi="Times"/>
        </w:rPr>
        <w:t>, (Leiden: Brill, 2013), 98.</w:t>
      </w:r>
      <w:bookmarkEnd w:id="61"/>
    </w:p>
  </w:footnote>
  <w:footnote w:id="124">
    <w:p w14:paraId="52F44D97" w14:textId="5D8CF2B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62" w:name="_Hlk119266363"/>
      <w:r w:rsidRPr="00E97E0B">
        <w:rPr>
          <w:rFonts w:ascii="Times" w:hAnsi="Times"/>
        </w:rPr>
        <w:t xml:space="preserve">Theodor W. Adorno, </w:t>
      </w:r>
      <w:r w:rsidRPr="00E97E0B">
        <w:rPr>
          <w:rFonts w:ascii="Times" w:hAnsi="Times"/>
          <w:i/>
          <w:iCs/>
        </w:rPr>
        <w:t>Negative Dielectics</w:t>
      </w:r>
      <w:r w:rsidRPr="00E97E0B">
        <w:rPr>
          <w:rFonts w:ascii="Times" w:hAnsi="Times"/>
        </w:rPr>
        <w:t>, (London: Routledge, 2004), 146-147.</w:t>
      </w:r>
      <w:bookmarkEnd w:id="62"/>
    </w:p>
  </w:footnote>
  <w:footnote w:id="125">
    <w:p w14:paraId="01518BC0" w14:textId="50DDF5D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148, 308.</w:t>
      </w:r>
    </w:p>
  </w:footnote>
  <w:footnote w:id="126">
    <w:p w14:paraId="306AFBD3"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Jan Rehmann, </w:t>
      </w:r>
      <w:r w:rsidRPr="00E97E0B">
        <w:rPr>
          <w:rFonts w:ascii="Times" w:hAnsi="Times"/>
          <w:i/>
          <w:iCs/>
        </w:rPr>
        <w:t>Theories of Ideology: The Powers of Alienation and Subjection</w:t>
      </w:r>
      <w:r w:rsidRPr="00E97E0B">
        <w:rPr>
          <w:rFonts w:ascii="Times" w:hAnsi="Times"/>
        </w:rPr>
        <w:t>, 96.</w:t>
      </w:r>
    </w:p>
    <w:p w14:paraId="134B948A" w14:textId="77777777" w:rsidR="003C2413" w:rsidRPr="00E97E0B" w:rsidRDefault="003C2413" w:rsidP="002858AE">
      <w:pPr>
        <w:pStyle w:val="DipnotMetni1"/>
        <w:spacing w:before="0" w:after="0" w:line="240" w:lineRule="auto"/>
        <w:rPr>
          <w:rFonts w:ascii="Times" w:hAnsi="Times"/>
        </w:rPr>
      </w:pPr>
    </w:p>
  </w:footnote>
  <w:footnote w:id="127">
    <w:p w14:paraId="558E2AAA" w14:textId="677A2D9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64" w:name="_Hlk119266597"/>
      <w:r w:rsidRPr="00E97E0B">
        <w:rPr>
          <w:rFonts w:ascii="Times" w:hAnsi="Times"/>
        </w:rPr>
        <w:t xml:space="preserve">Jon Elster, “Belief, Bias and Ideology,” </w:t>
      </w:r>
      <w:r w:rsidRPr="00E97E0B">
        <w:rPr>
          <w:rFonts w:ascii="Times" w:hAnsi="Times"/>
          <w:i/>
          <w:iCs/>
        </w:rPr>
        <w:t xml:space="preserve">Rationality and Relativism </w:t>
      </w:r>
      <w:r w:rsidRPr="00E97E0B">
        <w:rPr>
          <w:rFonts w:ascii="Times" w:hAnsi="Times"/>
        </w:rPr>
        <w:t>içinde, Eds. Martin Hollis ve Steven Lukes, (Cambridge: MIT Press, 1982), 123, 124, 133, 140.</w:t>
      </w:r>
      <w:bookmarkEnd w:id="64"/>
    </w:p>
  </w:footnote>
  <w:footnote w:id="128">
    <w:p w14:paraId="4A07AA9D"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Terry Eagleton, </w:t>
      </w:r>
      <w:r w:rsidRPr="00E97E0B">
        <w:rPr>
          <w:rFonts w:ascii="Times" w:hAnsi="Times"/>
          <w:i/>
          <w:iCs/>
        </w:rPr>
        <w:t>İdeoloji</w:t>
      </w:r>
      <w:r w:rsidRPr="00E97E0B">
        <w:rPr>
          <w:rFonts w:ascii="Times" w:hAnsi="Times"/>
        </w:rPr>
        <w:t>, 35, 38.</w:t>
      </w:r>
    </w:p>
  </w:footnote>
  <w:footnote w:id="129">
    <w:p w14:paraId="23292BF1" w14:textId="028D931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p>
    <w:p w14:paraId="7D878D65" w14:textId="77777777" w:rsidR="003C2413" w:rsidRPr="00E97E0B" w:rsidRDefault="003C2413" w:rsidP="002858AE">
      <w:pPr>
        <w:pStyle w:val="DipnotMetni1"/>
        <w:spacing w:before="0" w:after="0" w:line="240" w:lineRule="auto"/>
        <w:rPr>
          <w:rFonts w:ascii="Times" w:hAnsi="Times"/>
        </w:rPr>
      </w:pPr>
    </w:p>
  </w:footnote>
  <w:footnote w:id="130">
    <w:p w14:paraId="54485B85" w14:textId="415793C6" w:rsidR="003C2413" w:rsidRPr="00E97E0B" w:rsidRDefault="003C2413" w:rsidP="002858AE">
      <w:pPr>
        <w:pStyle w:val="DipnotMetni1"/>
        <w:tabs>
          <w:tab w:val="left" w:pos="2268"/>
        </w:tabs>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67" w:name="_Hlk119266712"/>
      <w:r w:rsidRPr="00E97E0B">
        <w:rPr>
          <w:rFonts w:ascii="Times" w:hAnsi="Times"/>
        </w:rPr>
        <w:t xml:space="preserve">Teun A. Van Dijk, “Söylem ve İdeoloji: Çokalanlı Bir Yaklaşım,” çev. Nurcan Ateş, </w:t>
      </w:r>
      <w:r w:rsidRPr="00E97E0B">
        <w:rPr>
          <w:rFonts w:ascii="Times" w:hAnsi="Times"/>
          <w:i/>
          <w:iCs/>
        </w:rPr>
        <w:t>Söylem ve İdeoloji</w:t>
      </w:r>
      <w:r w:rsidRPr="00E97E0B">
        <w:rPr>
          <w:rFonts w:ascii="Times" w:hAnsi="Times"/>
        </w:rPr>
        <w:t xml:space="preserve"> içinde haz. Barış Çoban ve Zeynep Özarslan, Genişletilmiş 2.bs. (İstanbul: Su Yayınları, 2015), 52-53.</w:t>
      </w:r>
      <w:bookmarkEnd w:id="67"/>
    </w:p>
  </w:footnote>
  <w:footnote w:id="131">
    <w:p w14:paraId="76EBD2A8" w14:textId="190CA2B5"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51-69.</w:t>
      </w:r>
    </w:p>
  </w:footnote>
  <w:footnote w:id="132">
    <w:p w14:paraId="4FFD72F6" w14:textId="3F193DF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72-95.</w:t>
      </w:r>
    </w:p>
  </w:footnote>
  <w:footnote w:id="133">
    <w:p w14:paraId="493031FD" w14:textId="3637A57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71" w:name="_Hlk119266865"/>
      <w:r w:rsidRPr="00E97E0B">
        <w:rPr>
          <w:rFonts w:ascii="Times" w:hAnsi="Times"/>
        </w:rPr>
        <w:t xml:space="preserve">Gianni Vattimo, “Postmodern Criticism: Postmodern Critique,” </w:t>
      </w:r>
      <w:r w:rsidRPr="00E97E0B">
        <w:rPr>
          <w:rFonts w:ascii="Times" w:hAnsi="Times"/>
          <w:i/>
          <w:iCs/>
        </w:rPr>
        <w:t>Writing the Future</w:t>
      </w:r>
      <w:r w:rsidRPr="00E97E0B">
        <w:rPr>
          <w:rFonts w:ascii="Times" w:hAnsi="Times"/>
        </w:rPr>
        <w:t xml:space="preserve"> içinde, </w:t>
      </w:r>
      <w:r w:rsidR="00FE60F4" w:rsidRPr="00E97E0B">
        <w:rPr>
          <w:rFonts w:ascii="Times" w:hAnsi="Times"/>
        </w:rPr>
        <w:t>ed.</w:t>
      </w:r>
      <w:r w:rsidRPr="00E97E0B">
        <w:rPr>
          <w:rFonts w:ascii="Times" w:hAnsi="Times"/>
        </w:rPr>
        <w:t xml:space="preserve"> David Woods, (London: Routledge, 1990), 57.</w:t>
      </w:r>
      <w:bookmarkEnd w:id="71"/>
    </w:p>
  </w:footnote>
  <w:footnote w:id="134">
    <w:p w14:paraId="58FAA2F5"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Terry Eagleton,</w:t>
      </w:r>
      <w:r w:rsidRPr="00E97E0B">
        <w:rPr>
          <w:rFonts w:ascii="Times" w:hAnsi="Times"/>
          <w:i/>
          <w:iCs/>
        </w:rPr>
        <w:t xml:space="preserve"> İdeoloji</w:t>
      </w:r>
      <w:r w:rsidRPr="00E97E0B">
        <w:rPr>
          <w:rFonts w:ascii="Times" w:hAnsi="Times"/>
        </w:rPr>
        <w:t>, 12.</w:t>
      </w:r>
    </w:p>
  </w:footnote>
  <w:footnote w:id="135">
    <w:p w14:paraId="224A67FF" w14:textId="2E40B5C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65-66.</w:t>
      </w:r>
    </w:p>
  </w:footnote>
  <w:footnote w:id="136">
    <w:p w14:paraId="1B84770F" w14:textId="6D64A73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68.</w:t>
      </w:r>
    </w:p>
  </w:footnote>
  <w:footnote w:id="137">
    <w:p w14:paraId="43D8309F" w14:textId="7CB2349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69.</w:t>
      </w:r>
    </w:p>
  </w:footnote>
  <w:footnote w:id="138">
    <w:p w14:paraId="57CE2A1D" w14:textId="3D9086F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73" w:name="_Hlk119267128"/>
      <w:r w:rsidRPr="00E97E0B">
        <w:rPr>
          <w:rFonts w:ascii="Times" w:hAnsi="Times"/>
        </w:rPr>
        <w:t xml:space="preserve">Peter J. Burke ve Jan E. Stets, </w:t>
      </w:r>
      <w:r w:rsidRPr="00E97E0B">
        <w:rPr>
          <w:rFonts w:ascii="Times" w:hAnsi="Times"/>
          <w:i/>
          <w:iCs/>
        </w:rPr>
        <w:t>Identity Theory</w:t>
      </w:r>
      <w:r w:rsidRPr="00E97E0B">
        <w:rPr>
          <w:rFonts w:ascii="Times" w:hAnsi="Times"/>
        </w:rPr>
        <w:t>, (Oxford: Oxford University Press, 2009), 13.</w:t>
      </w:r>
      <w:bookmarkEnd w:id="73"/>
    </w:p>
  </w:footnote>
  <w:footnote w:id="139">
    <w:p w14:paraId="1B327906" w14:textId="15D1D03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74" w:name="_Hlk119267119"/>
      <w:r w:rsidRPr="00E97E0B">
        <w:rPr>
          <w:rFonts w:ascii="Times" w:hAnsi="Times"/>
        </w:rPr>
        <w:t xml:space="preserve">Vilho Harle, “On the concepts of the “Other” and the “Enemy,” </w:t>
      </w:r>
      <w:r w:rsidRPr="00E97E0B">
        <w:rPr>
          <w:rFonts w:ascii="Times" w:hAnsi="Times"/>
          <w:i/>
          <w:iCs/>
        </w:rPr>
        <w:t>History of European Ideas</w:t>
      </w:r>
      <w:r w:rsidRPr="00E97E0B">
        <w:rPr>
          <w:rFonts w:ascii="Times" w:hAnsi="Times"/>
        </w:rPr>
        <w:t>, c. 19, S. 13, (1994), 28.</w:t>
      </w:r>
      <w:bookmarkEnd w:id="74"/>
    </w:p>
  </w:footnote>
  <w:footnote w:id="140">
    <w:p w14:paraId="7A599087" w14:textId="03B0F90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76" w:name="_Hlk119267451"/>
      <w:r w:rsidRPr="00E97E0B">
        <w:rPr>
          <w:rFonts w:ascii="Times" w:hAnsi="Times"/>
        </w:rPr>
        <w:t xml:space="preserve">Seth J. Schwartz, Koen Luyckx ve Vivian L. Vignoles (Eds.), </w:t>
      </w:r>
      <w:r w:rsidRPr="00E97E0B">
        <w:rPr>
          <w:rFonts w:ascii="Times" w:hAnsi="Times"/>
          <w:i/>
          <w:iCs/>
        </w:rPr>
        <w:t>Handbook of Identity Theory and Research</w:t>
      </w:r>
      <w:r w:rsidRPr="00E97E0B">
        <w:rPr>
          <w:rFonts w:ascii="Times" w:hAnsi="Times"/>
        </w:rPr>
        <w:t>, (London: Springer Science and Business Media, 2011), 80.</w:t>
      </w:r>
      <w:bookmarkEnd w:id="76"/>
    </w:p>
  </w:footnote>
  <w:footnote w:id="141">
    <w:p w14:paraId="590A7178" w14:textId="282A4A9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Michael Bamberg, Anna De Fina ve Deborah Schiffrin, “Discourse and Identity Construction,” </w:t>
      </w:r>
      <w:r w:rsidRPr="00E97E0B">
        <w:rPr>
          <w:rFonts w:ascii="Times" w:hAnsi="Times"/>
          <w:i/>
          <w:iCs/>
        </w:rPr>
        <w:t>Handbook of Identity Theory and Research</w:t>
      </w:r>
      <w:r w:rsidRPr="00E97E0B">
        <w:rPr>
          <w:rFonts w:ascii="Times" w:hAnsi="Times"/>
        </w:rPr>
        <w:t xml:space="preserve"> içinde, Eds. Seth J. Schwartz, Koen Luyckx ve Vivian L. Vignoles, (London: Springer Science and Business Media, 2011), 177.</w:t>
      </w:r>
    </w:p>
  </w:footnote>
  <w:footnote w:id="142">
    <w:p w14:paraId="00AFEE20" w14:textId="3D52B70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77" w:name="_Hlk119267578"/>
      <w:r w:rsidRPr="00E97E0B">
        <w:rPr>
          <w:rFonts w:ascii="Times" w:hAnsi="Times"/>
        </w:rPr>
        <w:t xml:space="preserve">Serdar Kuzey Yıldız, “Düşman Yaratmak ve Nefret Söylemi Bağlamında “Gone Girl” (Kayıp Kız) Filminin Göstergebilimsel Çözümlemesi,” </w:t>
      </w:r>
      <w:r w:rsidRPr="00E97E0B">
        <w:rPr>
          <w:rFonts w:ascii="Times" w:hAnsi="Times"/>
          <w:i/>
          <w:iCs/>
        </w:rPr>
        <w:t>İletişim Çalışmaları Dergisi</w:t>
      </w:r>
      <w:r w:rsidRPr="00E97E0B">
        <w:rPr>
          <w:rFonts w:ascii="Times" w:hAnsi="Times"/>
        </w:rPr>
        <w:t>, c. 7, S. 2, (İstanbul, 2021), 327.</w:t>
      </w:r>
      <w:bookmarkEnd w:id="77"/>
    </w:p>
  </w:footnote>
  <w:footnote w:id="143">
    <w:p w14:paraId="784EF9D1"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Peter J. Burke, Jan E. Stets, </w:t>
      </w:r>
      <w:r w:rsidRPr="00E97E0B">
        <w:rPr>
          <w:rFonts w:ascii="Times" w:hAnsi="Times"/>
          <w:i/>
          <w:iCs/>
        </w:rPr>
        <w:t>Identity Theory</w:t>
      </w:r>
      <w:r w:rsidRPr="00E97E0B">
        <w:rPr>
          <w:rFonts w:ascii="Times" w:hAnsi="Times"/>
        </w:rPr>
        <w:t>, 14-15.</w:t>
      </w:r>
    </w:p>
  </w:footnote>
  <w:footnote w:id="144">
    <w:p w14:paraId="08D2CFF9" w14:textId="22A2DC0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78" w:name="_Hlk119267744"/>
      <w:r w:rsidRPr="00E97E0B">
        <w:rPr>
          <w:rFonts w:ascii="Times" w:hAnsi="Times"/>
        </w:rPr>
        <w:t xml:space="preserve">Alexander Wendt, </w:t>
      </w:r>
      <w:r w:rsidRPr="00E97E0B">
        <w:rPr>
          <w:rFonts w:ascii="Times" w:hAnsi="Times"/>
          <w:i/>
          <w:iCs/>
        </w:rPr>
        <w:t>Uluslararası Siyasetin Sosyal Teorisi</w:t>
      </w:r>
      <w:r w:rsidRPr="00E97E0B">
        <w:rPr>
          <w:rFonts w:ascii="Times" w:hAnsi="Times"/>
        </w:rPr>
        <w:t>, Çev. Helin Sarı Ertem ve Suna Gülfer Ihlamur Öner 2. bs. (İstanbul: Küre Yayınları, 2012), 388-399.</w:t>
      </w:r>
      <w:bookmarkEnd w:id="78"/>
    </w:p>
  </w:footnote>
  <w:footnote w:id="145">
    <w:p w14:paraId="1A814B04" w14:textId="3120F67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79" w:name="_Hlk119268343"/>
      <w:r w:rsidRPr="00E97E0B">
        <w:rPr>
          <w:rFonts w:ascii="Times" w:hAnsi="Times"/>
        </w:rPr>
        <w:t>Bahar Rumelili, “Kimlik,”</w:t>
      </w:r>
      <w:r w:rsidRPr="00E97E0B">
        <w:rPr>
          <w:rFonts w:ascii="Times" w:hAnsi="Times"/>
          <w:i/>
          <w:iCs/>
        </w:rPr>
        <w:t xml:space="preserve"> Uluslararası İlişkilere Giriş: Tarih Teori, Kavram ve Konular</w:t>
      </w:r>
      <w:r w:rsidRPr="00E97E0B">
        <w:rPr>
          <w:rFonts w:ascii="Times" w:hAnsi="Times"/>
        </w:rPr>
        <w:t xml:space="preserve"> içinde, Eds. Şaban Kardaş ve Ali Balcı, Küre Yayınları, (İstanbul: Küre Yayınları, 2014), 390-391.</w:t>
      </w:r>
      <w:bookmarkEnd w:id="79"/>
    </w:p>
  </w:footnote>
  <w:footnote w:id="146">
    <w:p w14:paraId="6D279DD6" w14:textId="6D96A39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80" w:name="_Hlk119268436"/>
      <w:r w:rsidRPr="00E97E0B">
        <w:rPr>
          <w:rFonts w:ascii="Times" w:hAnsi="Times"/>
        </w:rPr>
        <w:t xml:space="preserve">Martha L. Cottam, Elena Mators, Thomas Preston ve Beth Diez, </w:t>
      </w:r>
      <w:r w:rsidRPr="00E97E0B">
        <w:rPr>
          <w:rFonts w:ascii="Times" w:hAnsi="Times"/>
          <w:i/>
          <w:iCs/>
        </w:rPr>
        <w:t>Siyaset Psikolojisine Giriş</w:t>
      </w:r>
      <w:r w:rsidRPr="00E97E0B">
        <w:rPr>
          <w:rFonts w:ascii="Times" w:hAnsi="Times"/>
        </w:rPr>
        <w:t>, Çev: Mesut Şenol, Çev ed. Ebru Altınoğlu, (Ankara: BB101 Yayınları, 2017), 97-103.</w:t>
      </w:r>
      <w:bookmarkEnd w:id="80"/>
    </w:p>
  </w:footnote>
  <w:footnote w:id="147">
    <w:p w14:paraId="23DEFC3A" w14:textId="4BCC8ED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Sezgin Erdem, “Yapısal Sembolik Etkileşimcilik ve Kimlik Teorisi,”</w:t>
      </w:r>
      <w:r w:rsidRPr="00E97E0B">
        <w:rPr>
          <w:rFonts w:ascii="Times" w:hAnsi="Times"/>
          <w:i/>
          <w:iCs/>
        </w:rPr>
        <w:t xml:space="preserve"> Sosyal ve Beşerî Bilimleri Dergisi</w:t>
      </w:r>
      <w:r w:rsidRPr="00E97E0B">
        <w:rPr>
          <w:rFonts w:ascii="Times" w:hAnsi="Times"/>
        </w:rPr>
        <w:t>, c. 12, S. 1, (2020), 60.</w:t>
      </w:r>
    </w:p>
  </w:footnote>
  <w:footnote w:id="148">
    <w:p w14:paraId="3C7EFCAF" w14:textId="35F5236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Polat S. Alpman, “Sosyal Teorinin Konusu Olarak Kimlik: Sosyal İnşacı Yaklaşım,” </w:t>
      </w:r>
      <w:r w:rsidRPr="00E97E0B">
        <w:rPr>
          <w:rFonts w:ascii="Times" w:hAnsi="Times"/>
          <w:i/>
          <w:iCs/>
        </w:rPr>
        <w:t>Sosyoloji Araştırmaları Dergisi</w:t>
      </w:r>
      <w:r w:rsidRPr="00E97E0B">
        <w:rPr>
          <w:rFonts w:ascii="Times" w:hAnsi="Times"/>
        </w:rPr>
        <w:t>, c. 21, S.2 (Ekim 2018), 1, 22.</w:t>
      </w:r>
    </w:p>
  </w:footnote>
  <w:footnote w:id="149">
    <w:p w14:paraId="6EB0A794" w14:textId="27B5A53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Serdar Kuzey Yıldız, “Düşman Yaratmak ve Nefret Söylemi Bağlamında “Gone Girl” (Kayıp Kız) Filminin Göstergebilimsel Çözümlemesi,” 327.</w:t>
      </w:r>
    </w:p>
  </w:footnote>
  <w:footnote w:id="150">
    <w:p w14:paraId="0A19C916" w14:textId="2A540DA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81" w:name="_Hlk119352486"/>
      <w:r w:rsidRPr="00E97E0B">
        <w:rPr>
          <w:rFonts w:ascii="Times" w:hAnsi="Times"/>
        </w:rPr>
        <w:t xml:space="preserve">Boucher, David. 2002. “The Enemy with a Thousand Faces: The Tradition of the Other in Western Political Thought and History.” </w:t>
      </w:r>
      <w:r w:rsidRPr="00E97E0B">
        <w:rPr>
          <w:rFonts w:ascii="Times" w:hAnsi="Times"/>
          <w:i/>
          <w:iCs/>
        </w:rPr>
        <w:t>American Political Science Review</w:t>
      </w:r>
      <w:r w:rsidRPr="00E97E0B">
        <w:rPr>
          <w:rFonts w:ascii="Times" w:hAnsi="Times"/>
        </w:rPr>
        <w:t xml:space="preserve">, c. 96, s. 1, (2002), 182–183. </w:t>
      </w:r>
      <w:r w:rsidR="00751A72" w:rsidRPr="00E97E0B">
        <w:rPr>
          <w:rFonts w:ascii="Times" w:hAnsi="Times"/>
        </w:rPr>
        <w:t>http://dx.doi.org/</w:t>
      </w:r>
      <w:r w:rsidRPr="00E97E0B">
        <w:rPr>
          <w:rFonts w:ascii="Times" w:hAnsi="Times"/>
        </w:rPr>
        <w:t>10.1017/S000305540231431X.</w:t>
      </w:r>
      <w:bookmarkEnd w:id="81"/>
    </w:p>
  </w:footnote>
  <w:footnote w:id="151">
    <w:p w14:paraId="1A440F43" w14:textId="272AB27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Serdar Kuzey Yıldız, “Düşman Yaratmak ve Nefret Söylemi Bağlamında “Gone Girl” (Kayıp Kız) Filminin Göstergebilimsel Çözümlemesi,” 329.</w:t>
      </w:r>
    </w:p>
  </w:footnote>
  <w:footnote w:id="152">
    <w:p w14:paraId="54BA603F" w14:textId="6EDDB9D8" w:rsidR="003C2413" w:rsidRPr="00E97E0B" w:rsidRDefault="003C2413" w:rsidP="00C82B92">
      <w:pPr>
        <w:pStyle w:val="FootnoteText"/>
      </w:pPr>
      <w:r w:rsidRPr="00E97E0B">
        <w:rPr>
          <w:rStyle w:val="FootnoteReference"/>
        </w:rPr>
        <w:footnoteRef/>
      </w:r>
      <w:r w:rsidRPr="00E97E0B">
        <w:t xml:space="preserve"> </w:t>
      </w:r>
      <w:bookmarkStart w:id="82" w:name="_Hlk140249091"/>
      <w:r w:rsidRPr="00E97E0B">
        <w:rPr>
          <w:rFonts w:ascii="Times" w:hAnsi="Times"/>
        </w:rPr>
        <w:t xml:space="preserve">John J. Mearseheimer, </w:t>
      </w:r>
      <w:r w:rsidRPr="00E97E0B">
        <w:rPr>
          <w:rFonts w:ascii="Times" w:hAnsi="Times"/>
          <w:i/>
          <w:iCs/>
        </w:rPr>
        <w:t>Why Leaders Lie? The Truth about Lying in International Politics</w:t>
      </w:r>
      <w:r w:rsidRPr="00E97E0B">
        <w:rPr>
          <w:rFonts w:ascii="Times" w:hAnsi="Times"/>
        </w:rPr>
        <w:t>, (New York: Oxford University Press), 2011.</w:t>
      </w:r>
      <w:bookmarkEnd w:id="82"/>
    </w:p>
  </w:footnote>
  <w:footnote w:id="153">
    <w:p w14:paraId="400A2EA5" w14:textId="4AB8217E"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83" w:name="_Hlk119270227"/>
      <w:r w:rsidRPr="00E97E0B">
        <w:rPr>
          <w:rFonts w:ascii="Times" w:hAnsi="Times"/>
        </w:rPr>
        <w:t xml:space="preserve">Rusi Jaspal, “Social Psychological Debates About Identity,” </w:t>
      </w:r>
      <w:r w:rsidRPr="00E97E0B">
        <w:rPr>
          <w:rFonts w:ascii="Times" w:hAnsi="Times"/>
          <w:i/>
          <w:iCs/>
        </w:rPr>
        <w:t>Identity Process Theory: Identity, Social Action and Social Change</w:t>
      </w:r>
      <w:r w:rsidRPr="00E97E0B">
        <w:rPr>
          <w:rFonts w:ascii="Times" w:hAnsi="Times"/>
        </w:rPr>
        <w:t xml:space="preserve"> içinde Eds. Rusi Jaspal ve Glynis M. Breakwell (Cambridge: Cambridge University Press, 2016), 4-5.</w:t>
      </w:r>
      <w:bookmarkEnd w:id="83"/>
    </w:p>
  </w:footnote>
  <w:footnote w:id="154">
    <w:p w14:paraId="61AC3759" w14:textId="5A31319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8-9.</w:t>
      </w:r>
    </w:p>
  </w:footnote>
  <w:footnote w:id="155">
    <w:p w14:paraId="26D42F25" w14:textId="350C2A6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85" w:name="_Hlk119270234"/>
      <w:r w:rsidRPr="00E97E0B">
        <w:rPr>
          <w:rFonts w:ascii="Times" w:hAnsi="Times"/>
        </w:rPr>
        <w:t>Mustafa Dikmen, “Jean Baudrillard ve Postmodernizm,” Uludağ Üniversitesi, Yüksek Lisans Tezi, 2016), 33, 35, 36.</w:t>
      </w:r>
      <w:bookmarkEnd w:id="85"/>
    </w:p>
  </w:footnote>
  <w:footnote w:id="156">
    <w:p w14:paraId="352161CE" w14:textId="1FD31FB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86" w:name="_Hlk119270285"/>
      <w:r w:rsidRPr="00E97E0B">
        <w:rPr>
          <w:rFonts w:ascii="Times" w:hAnsi="Times"/>
        </w:rPr>
        <w:t xml:space="preserve">Jean-François Lyotard, </w:t>
      </w:r>
      <w:r w:rsidRPr="00E97E0B">
        <w:rPr>
          <w:rFonts w:ascii="Times" w:hAnsi="Times"/>
          <w:i/>
          <w:iCs/>
        </w:rPr>
        <w:t>La Condition Postmoderne</w:t>
      </w:r>
      <w:r w:rsidRPr="00E97E0B">
        <w:rPr>
          <w:rFonts w:ascii="Times" w:hAnsi="Times"/>
        </w:rPr>
        <w:t>, (Paris, Les éditions de minuit, 1979), 108.</w:t>
      </w:r>
      <w:bookmarkEnd w:id="86"/>
    </w:p>
  </w:footnote>
  <w:footnote w:id="157">
    <w:p w14:paraId="5CB1DAA0" w14:textId="03A7C665"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87" w:name="_Hlk119270346"/>
      <w:r w:rsidRPr="00E97E0B">
        <w:rPr>
          <w:rFonts w:ascii="Times" w:hAnsi="Times"/>
        </w:rPr>
        <w:t>Süleyman Hayri Bolay, Postmodernizm, [Erişim: 15.11.2021], http://www.canaktan.org/felsefe-sosyo/post-modern/hayri-bolay.htm</w:t>
      </w:r>
      <w:bookmarkEnd w:id="87"/>
    </w:p>
  </w:footnote>
  <w:footnote w:id="158">
    <w:p w14:paraId="2E1D0E35" w14:textId="4B6BF6F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Cüneyt Birkök, “Modernizmden Postmodernizme: Yeni Problemler,” </w:t>
      </w:r>
      <w:r w:rsidRPr="00E97E0B">
        <w:rPr>
          <w:rFonts w:ascii="Times" w:hAnsi="Times"/>
          <w:i/>
        </w:rPr>
        <w:t>Yeni Türkiye</w:t>
      </w:r>
      <w:r w:rsidRPr="00E97E0B">
        <w:rPr>
          <w:rFonts w:ascii="Times" w:hAnsi="Times"/>
        </w:rPr>
        <w:t>, S. 19, (Ankara 1998), 526.</w:t>
      </w:r>
    </w:p>
  </w:footnote>
  <w:footnote w:id="159">
    <w:p w14:paraId="2BB6D82E" w14:textId="496BC59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Jurgen Habermas, </w:t>
      </w:r>
      <w:r w:rsidRPr="00E97E0B">
        <w:rPr>
          <w:rFonts w:ascii="Times" w:hAnsi="Times"/>
          <w:i/>
          <w:iCs/>
        </w:rPr>
        <w:t>The Philosophical Discourse of Modernity</w:t>
      </w:r>
      <w:r w:rsidRPr="00E97E0B">
        <w:rPr>
          <w:rFonts w:ascii="Times" w:hAnsi="Times"/>
        </w:rPr>
        <w:t>, çev. Frederick Lawrence, (Cambridge: Polity Press, 1990), 336.</w:t>
      </w:r>
    </w:p>
  </w:footnote>
  <w:footnote w:id="160">
    <w:p w14:paraId="209016C8" w14:textId="14A8ED0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Jean Baudrillard, </w:t>
      </w:r>
      <w:r w:rsidRPr="00E97E0B">
        <w:rPr>
          <w:rFonts w:ascii="Times" w:hAnsi="Times"/>
          <w:i/>
          <w:iCs/>
        </w:rPr>
        <w:t>Simülakrlar ve Simülasyon</w:t>
      </w:r>
      <w:r w:rsidRPr="00E97E0B">
        <w:rPr>
          <w:rFonts w:ascii="Times" w:hAnsi="Times"/>
        </w:rPr>
        <w:t>, çev. Oğuz Adanır, (Ankara: Doğubatı Yayınları, 2011), 18-21.</w:t>
      </w:r>
    </w:p>
  </w:footnote>
  <w:footnote w:id="161">
    <w:p w14:paraId="52C6C7BA" w14:textId="15EDAFF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89" w:name="_Hlk119261330"/>
      <w:r w:rsidRPr="00E97E0B">
        <w:rPr>
          <w:rFonts w:ascii="Times" w:hAnsi="Times"/>
        </w:rPr>
        <w:t xml:space="preserve">Steven Best ve Douglas Kellner, </w:t>
      </w:r>
      <w:r w:rsidRPr="00E97E0B">
        <w:rPr>
          <w:rFonts w:ascii="Times" w:hAnsi="Times"/>
          <w:i/>
          <w:iCs/>
        </w:rPr>
        <w:t>Postmodern Teori: Eleştirel Soruşturmalar</w:t>
      </w:r>
      <w:r w:rsidRPr="00E97E0B">
        <w:rPr>
          <w:rFonts w:ascii="Times" w:hAnsi="Times"/>
        </w:rPr>
        <w:t>, çev. Mehmet Küçük, (İst</w:t>
      </w:r>
      <w:r w:rsidR="00527F0C" w:rsidRPr="00E97E0B">
        <w:rPr>
          <w:rFonts w:ascii="Times" w:hAnsi="Times"/>
        </w:rPr>
        <w:t>anbul:</w:t>
      </w:r>
      <w:r w:rsidRPr="00E97E0B">
        <w:rPr>
          <w:rFonts w:ascii="Times" w:hAnsi="Times"/>
        </w:rPr>
        <w:t xml:space="preserve"> Ayrıntı Yayınları, 2010), 24-27.</w:t>
      </w:r>
      <w:bookmarkEnd w:id="89"/>
    </w:p>
  </w:footnote>
  <w:footnote w:id="162">
    <w:p w14:paraId="2EE918F1" w14:textId="4C74541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22-27.</w:t>
      </w:r>
    </w:p>
  </w:footnote>
  <w:footnote w:id="163">
    <w:p w14:paraId="3F6E9E62"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90" w:name="_Hlk119261425"/>
      <w:r w:rsidRPr="00E97E0B">
        <w:rPr>
          <w:rFonts w:ascii="Times" w:hAnsi="Times"/>
        </w:rPr>
        <w:t xml:space="preserve">Zygmunt Bauman, </w:t>
      </w:r>
      <w:r w:rsidRPr="00E97E0B">
        <w:rPr>
          <w:rFonts w:ascii="Times" w:hAnsi="Times"/>
          <w:i/>
          <w:iCs/>
        </w:rPr>
        <w:t>Modernlik ve Müphemlik</w:t>
      </w:r>
      <w:r w:rsidRPr="00E97E0B">
        <w:rPr>
          <w:rFonts w:ascii="Times" w:hAnsi="Times"/>
        </w:rPr>
        <w:t>, çev. İsmail Türkmen, (İstanbul: Ayrıntı Yayınları, 2003), s. 342.</w:t>
      </w:r>
      <w:bookmarkEnd w:id="90"/>
    </w:p>
  </w:footnote>
  <w:footnote w:id="164">
    <w:p w14:paraId="11BEDE5C" w14:textId="24EFF16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Jean Baudrillard, </w:t>
      </w:r>
      <w:r w:rsidRPr="00E97E0B">
        <w:rPr>
          <w:rFonts w:ascii="Times" w:hAnsi="Times"/>
          <w:i/>
          <w:iCs/>
        </w:rPr>
        <w:t>Simülakrlar ve Simülasyon</w:t>
      </w:r>
      <w:r w:rsidRPr="00E97E0B">
        <w:rPr>
          <w:rFonts w:ascii="Times" w:hAnsi="Times"/>
        </w:rPr>
        <w:t>, 15.</w:t>
      </w:r>
    </w:p>
  </w:footnote>
  <w:footnote w:id="165">
    <w:p w14:paraId="62653135" w14:textId="336CFDD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Hilal Çelik ve Halil Ekşi, “Söylem Analizi,” 99. </w:t>
      </w:r>
    </w:p>
  </w:footnote>
  <w:footnote w:id="166">
    <w:p w14:paraId="5F1DAA86" w14:textId="1C07690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91" w:name="_Hlk119261504"/>
      <w:r w:rsidRPr="00E97E0B">
        <w:rPr>
          <w:rFonts w:ascii="Times" w:hAnsi="Times"/>
        </w:rPr>
        <w:t xml:space="preserve">Abdüllatif Tüzer, “Postmodernizm ve Tanrı’nın Ölümü: Öznenin Arkeolojisi Üzerine Bir Deneme,” </w:t>
      </w:r>
      <w:r w:rsidRPr="00E97E0B">
        <w:rPr>
          <w:rFonts w:ascii="Times" w:hAnsi="Times"/>
          <w:i/>
          <w:iCs/>
        </w:rPr>
        <w:t>Milel ve Nihal: İnanç Kültür ve Mitoloji Araştırmaları Dergisi</w:t>
      </w:r>
      <w:r w:rsidRPr="00E97E0B">
        <w:rPr>
          <w:rFonts w:ascii="Times" w:hAnsi="Times"/>
        </w:rPr>
        <w:t>, c. 12, s. 2, (2015), 79.</w:t>
      </w:r>
      <w:bookmarkEnd w:id="91"/>
    </w:p>
  </w:footnote>
  <w:footnote w:id="167">
    <w:p w14:paraId="1023C294" w14:textId="5EB2640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93" w:name="_Hlk119270417"/>
      <w:r w:rsidRPr="00E97E0B">
        <w:rPr>
          <w:rFonts w:ascii="Times" w:hAnsi="Times"/>
        </w:rPr>
        <w:t xml:space="preserve">Yalın Alpay, </w:t>
      </w:r>
      <w:r w:rsidRPr="00E97E0B">
        <w:rPr>
          <w:rFonts w:ascii="Times" w:hAnsi="Times"/>
          <w:i/>
          <w:iCs/>
        </w:rPr>
        <w:t>Yalanın Siyaseti</w:t>
      </w:r>
      <w:r w:rsidRPr="00E97E0B">
        <w:rPr>
          <w:rFonts w:ascii="Times" w:hAnsi="Times"/>
        </w:rPr>
        <w:t>, 15. bs. (İstanbul: Destek Yayınları, 2017), 27.</w:t>
      </w:r>
      <w:bookmarkEnd w:id="93"/>
    </w:p>
  </w:footnote>
  <w:footnote w:id="168">
    <w:p w14:paraId="46EC70D2" w14:textId="30EC6A7D" w:rsidR="003C2413" w:rsidRPr="00E97E0B" w:rsidRDefault="003C2413" w:rsidP="002858AE">
      <w:pPr>
        <w:pStyle w:val="DipnotMetni1"/>
        <w:spacing w:before="0" w:after="0" w:line="240" w:lineRule="auto"/>
      </w:pPr>
      <w:r w:rsidRPr="00E97E0B">
        <w:rPr>
          <w:rStyle w:val="FootnoteReference"/>
        </w:rPr>
        <w:footnoteRef/>
      </w:r>
      <w:r w:rsidRPr="00E97E0B">
        <w:t xml:space="preserve"> Alim Yılmaz ve Didem Geylani, </w:t>
      </w:r>
      <w:r w:rsidRPr="00E97E0B">
        <w:rPr>
          <w:i/>
        </w:rPr>
        <w:t>Teoriden Pratiğe Türkiye Siyaseti</w:t>
      </w:r>
      <w:r w:rsidRPr="00E97E0B">
        <w:t xml:space="preserve"> içinde “Post Truth (Hakikat Sonrası), Global Siyaset ve Türkiye: Metodolojik Bir Yaklaşım,” (Eds). Alim Yılmaz &amp; İkram Bağcı, Liberte, 1. bs. (Ankara: Liberte Yayınları, Mayıs 2021), 16.</w:t>
      </w:r>
    </w:p>
  </w:footnote>
  <w:footnote w:id="169">
    <w:p w14:paraId="77B105F2" w14:textId="7824E95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29-32.</w:t>
      </w:r>
    </w:p>
  </w:footnote>
  <w:footnote w:id="170">
    <w:p w14:paraId="5D3E1710" w14:textId="7D02FEA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94" w:name="_Hlk119270502"/>
      <w:r w:rsidRPr="00E97E0B">
        <w:rPr>
          <w:rFonts w:ascii="Times" w:hAnsi="Times"/>
        </w:rPr>
        <w:t xml:space="preserve">Steve Tesich, “Yalanlar Rejimi,” </w:t>
      </w:r>
      <w:r w:rsidRPr="00E97E0B">
        <w:rPr>
          <w:rFonts w:ascii="Times" w:hAnsi="Times"/>
          <w:i/>
          <w:iCs/>
        </w:rPr>
        <w:t>Hakikat Sonrası sayısı</w:t>
      </w:r>
      <w:r w:rsidRPr="00E97E0B">
        <w:rPr>
          <w:rFonts w:ascii="Times" w:hAnsi="Times"/>
        </w:rPr>
        <w:t xml:space="preserve"> içinde, </w:t>
      </w:r>
      <w:r w:rsidRPr="00E97E0B">
        <w:rPr>
          <w:rFonts w:ascii="Times" w:hAnsi="Times"/>
          <w:i/>
          <w:iCs/>
        </w:rPr>
        <w:t>Cogito</w:t>
      </w:r>
      <w:r w:rsidRPr="00E97E0B">
        <w:rPr>
          <w:rFonts w:ascii="Times" w:hAnsi="Times"/>
        </w:rPr>
        <w:t>, s. 104, (İstanbul, 2021), 23, 24, 25.</w:t>
      </w:r>
      <w:bookmarkEnd w:id="94"/>
    </w:p>
  </w:footnote>
  <w:footnote w:id="171">
    <w:p w14:paraId="3207AE49" w14:textId="156DF46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23, 24.</w:t>
      </w:r>
    </w:p>
  </w:footnote>
  <w:footnote w:id="172">
    <w:p w14:paraId="6BB5E874" w14:textId="430C3C5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95" w:name="_Hlk119270611"/>
      <w:r w:rsidRPr="00E97E0B">
        <w:rPr>
          <w:rFonts w:ascii="Times" w:hAnsi="Times"/>
        </w:rPr>
        <w:t xml:space="preserve">Linda M. G. Zerilli, “Alternatif Gerçekler Çağında Bilgi Teyidi ve Hakikat Anlatıcılığı,” </w:t>
      </w:r>
      <w:r w:rsidRPr="00E97E0B">
        <w:rPr>
          <w:rFonts w:ascii="Times" w:hAnsi="Times"/>
          <w:i/>
          <w:iCs/>
        </w:rPr>
        <w:t>Hakikat Sonrası sayısı</w:t>
      </w:r>
      <w:r w:rsidRPr="00E97E0B">
        <w:rPr>
          <w:rFonts w:ascii="Times" w:hAnsi="Times"/>
        </w:rPr>
        <w:t xml:space="preserve"> içinde, </w:t>
      </w:r>
      <w:r w:rsidRPr="00E97E0B">
        <w:rPr>
          <w:rFonts w:ascii="Times" w:hAnsi="Times"/>
          <w:i/>
          <w:iCs/>
        </w:rPr>
        <w:t>Cogito</w:t>
      </w:r>
      <w:r w:rsidRPr="00E97E0B">
        <w:rPr>
          <w:rFonts w:ascii="Times" w:hAnsi="Times"/>
        </w:rPr>
        <w:t xml:space="preserve">, S. 104, (İstanbul, 2021), </w:t>
      </w:r>
      <w:bookmarkEnd w:id="95"/>
      <w:r w:rsidRPr="00E97E0B">
        <w:rPr>
          <w:rFonts w:ascii="Times" w:hAnsi="Times"/>
        </w:rPr>
        <w:t>30.</w:t>
      </w:r>
    </w:p>
  </w:footnote>
  <w:footnote w:id="173">
    <w:p w14:paraId="3CA3A459" w14:textId="0EC9177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31.</w:t>
      </w:r>
    </w:p>
  </w:footnote>
  <w:footnote w:id="174">
    <w:p w14:paraId="6CE4CE0F" w14:textId="5A0B43C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35.</w:t>
      </w:r>
    </w:p>
  </w:footnote>
  <w:footnote w:id="175">
    <w:p w14:paraId="20C20C96" w14:textId="10356D8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03" w:name="_Hlk119270826"/>
      <w:r w:rsidRPr="00E97E0B">
        <w:rPr>
          <w:rFonts w:ascii="Times" w:hAnsi="Times"/>
        </w:rPr>
        <w:t xml:space="preserve">Chantal Desol, Bertrand Alliot ve Sergui Mişcoiu, </w:t>
      </w:r>
      <w:r w:rsidRPr="00E97E0B">
        <w:rPr>
          <w:rFonts w:ascii="Times" w:hAnsi="Times"/>
          <w:i/>
          <w:iCs/>
        </w:rPr>
        <w:t>Identités politiques et dynamiques partisanes en France</w:t>
      </w:r>
      <w:r w:rsidRPr="00E97E0B">
        <w:rPr>
          <w:rFonts w:ascii="Times" w:hAnsi="Times"/>
        </w:rPr>
        <w:t>, Edition de la Fondation pour les études européennes (EFES 2009), 6.</w:t>
      </w:r>
      <w:bookmarkEnd w:id="103"/>
    </w:p>
  </w:footnote>
  <w:footnote w:id="176">
    <w:p w14:paraId="4F69A923" w14:textId="1F57943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05" w:name="_Hlk119271018"/>
      <w:r w:rsidRPr="00E97E0B">
        <w:rPr>
          <w:rFonts w:ascii="Times" w:hAnsi="Times"/>
        </w:rPr>
        <w:t xml:space="preserve">Ali Tomak vd., “Tüketim Çağında Özne-Nesne Diyalektiği ve Anlam,” </w:t>
      </w:r>
      <w:r w:rsidRPr="00E97E0B">
        <w:rPr>
          <w:rFonts w:ascii="Times" w:hAnsi="Times"/>
          <w:i/>
          <w:iCs/>
        </w:rPr>
        <w:t xml:space="preserve">Medeniyet Sanat Dergisi, </w:t>
      </w:r>
      <w:r w:rsidRPr="00E97E0B">
        <w:rPr>
          <w:rFonts w:ascii="Times" w:hAnsi="Times"/>
        </w:rPr>
        <w:t xml:space="preserve">c.1, s.2, (Istanbul, 2015), 73. </w:t>
      </w:r>
      <w:bookmarkEnd w:id="105"/>
    </w:p>
  </w:footnote>
  <w:footnote w:id="177">
    <w:p w14:paraId="238A8AF8" w14:textId="25783A70" w:rsidR="003C2413" w:rsidRPr="00E97E0B" w:rsidRDefault="003C2413" w:rsidP="002858AE">
      <w:pPr>
        <w:pStyle w:val="DipnotMetni1"/>
        <w:spacing w:line="240" w:lineRule="auto"/>
      </w:pPr>
      <w:r w:rsidRPr="00E97E0B">
        <w:rPr>
          <w:rStyle w:val="FootnoteReference"/>
        </w:rPr>
        <w:footnoteRef/>
      </w:r>
      <w:r w:rsidRPr="00E97E0B">
        <w:t xml:space="preserve"> </w:t>
      </w:r>
      <w:bookmarkStart w:id="107" w:name="_Hlk136875920"/>
      <w:r w:rsidRPr="00E97E0B">
        <w:t xml:space="preserve">Halil İnalcık, “Political Modernization in Turkey,” in </w:t>
      </w:r>
      <w:r w:rsidRPr="00E97E0B">
        <w:rPr>
          <w:i/>
          <w:iCs/>
        </w:rPr>
        <w:t>From Empire to Republic: Essays on Ottoman and Turkish Social History</w:t>
      </w:r>
      <w:r w:rsidRPr="00E97E0B">
        <w:t xml:space="preserve">, The Isis Press, (İstanbul: 1995), </w:t>
      </w:r>
      <w:bookmarkEnd w:id="107"/>
      <w:r w:rsidRPr="00E97E0B">
        <w:t>134, 135.</w:t>
      </w:r>
    </w:p>
  </w:footnote>
  <w:footnote w:id="178">
    <w:p w14:paraId="15020B1D" w14:textId="29D68AF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08" w:name="_Hlk119271184"/>
      <w:r w:rsidRPr="00E97E0B">
        <w:rPr>
          <w:rFonts w:ascii="Times" w:hAnsi="Times"/>
        </w:rPr>
        <w:t xml:space="preserve">Taylan Can Doğanay, “Adalet ve Kalkınma Partisi’nin Muktedir İktidarı ve Sistem Meşrulaştırması,” </w:t>
      </w:r>
      <w:r w:rsidRPr="00E97E0B">
        <w:rPr>
          <w:rFonts w:ascii="Times" w:hAnsi="Times"/>
          <w:i/>
          <w:iCs/>
        </w:rPr>
        <w:t>KMÜ Sosyal ve Ekonomik Araştırmalar Dergisi</w:t>
      </w:r>
      <w:r w:rsidRPr="00E97E0B">
        <w:rPr>
          <w:rFonts w:ascii="Times" w:hAnsi="Times"/>
        </w:rPr>
        <w:t xml:space="preserve">, c. </w:t>
      </w:r>
      <w:r w:rsidR="00527F0C" w:rsidRPr="00E97E0B">
        <w:rPr>
          <w:rFonts w:ascii="Times" w:hAnsi="Times"/>
        </w:rPr>
        <w:t>16 s</w:t>
      </w:r>
      <w:r w:rsidRPr="00E97E0B">
        <w:rPr>
          <w:rFonts w:ascii="Times" w:hAnsi="Times"/>
        </w:rPr>
        <w:t>. 27, (Konya, 2014), 66.</w:t>
      </w:r>
      <w:bookmarkEnd w:id="108"/>
    </w:p>
  </w:footnote>
  <w:footnote w:id="179">
    <w:p w14:paraId="0A7101CC" w14:textId="49EA6622" w:rsidR="003C2413" w:rsidRPr="00E97E0B" w:rsidRDefault="003C2413" w:rsidP="002858AE">
      <w:pPr>
        <w:pStyle w:val="DipnotMetni1"/>
        <w:spacing w:before="0" w:after="0" w:line="240" w:lineRule="auto"/>
      </w:pPr>
      <w:r w:rsidRPr="00E97E0B">
        <w:rPr>
          <w:rStyle w:val="FootnoteReference"/>
        </w:rPr>
        <w:footnoteRef/>
      </w:r>
      <w:r w:rsidRPr="00E97E0B">
        <w:t xml:space="preserve"> J. G. Shields, “The Sarkozy Effect: France's New Presidential Dynamic,” </w:t>
      </w:r>
      <w:r w:rsidRPr="00E97E0B">
        <w:rPr>
          <w:i/>
          <w:iCs/>
        </w:rPr>
        <w:t>Georgetown Journal of International Affairs</w:t>
      </w:r>
      <w:r w:rsidRPr="00E97E0B">
        <w:t>, Georgetown University Press, Winter/Spring 2008, Vol. 9, No.1 (Winter/Spring 2008), 103.</w:t>
      </w:r>
    </w:p>
  </w:footnote>
  <w:footnote w:id="180">
    <w:p w14:paraId="2C5EB3AC" w14:textId="72F88772"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103.</w:t>
      </w:r>
    </w:p>
  </w:footnote>
  <w:footnote w:id="181">
    <w:p w14:paraId="481F88AD" w14:textId="64C0ED5E"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104, 105.</w:t>
      </w:r>
    </w:p>
  </w:footnote>
  <w:footnote w:id="182">
    <w:p w14:paraId="7CCB41B7" w14:textId="27080BCC" w:rsidR="003C2413" w:rsidRPr="00E97E0B" w:rsidRDefault="003C2413" w:rsidP="002858AE">
      <w:pPr>
        <w:pStyle w:val="DipnotMetni1"/>
        <w:spacing w:line="240" w:lineRule="auto"/>
      </w:pPr>
      <w:bookmarkStart w:id="109" w:name="_Hlk136297383"/>
      <w:r w:rsidRPr="00E97E0B">
        <w:rPr>
          <w:rStyle w:val="FootnoteReference"/>
        </w:rPr>
        <w:footnoteRef/>
      </w:r>
      <w:r w:rsidRPr="00E97E0B">
        <w:t xml:space="preserve"> Jean-Jacques Becker, </w:t>
      </w:r>
      <w:r w:rsidRPr="00E97E0B">
        <w:rPr>
          <w:i/>
          <w:iCs/>
        </w:rPr>
        <w:t>Histoire politique de la France depuis 1945</w:t>
      </w:r>
      <w:r w:rsidRPr="00E97E0B">
        <w:t xml:space="preserve">, 11. </w:t>
      </w:r>
      <w:r w:rsidR="00647343" w:rsidRPr="00E97E0B">
        <w:t>bs.</w:t>
      </w:r>
      <w:r w:rsidRPr="00E97E0B">
        <w:t>, (France: Armand Colin, Haziran 2015), 274-275.</w:t>
      </w:r>
      <w:bookmarkEnd w:id="109"/>
    </w:p>
  </w:footnote>
  <w:footnote w:id="183">
    <w:p w14:paraId="1CA506C3" w14:textId="77777777" w:rsidR="003C2413" w:rsidRPr="00E97E0B" w:rsidRDefault="003C2413" w:rsidP="002858AE">
      <w:pPr>
        <w:pStyle w:val="DipnotMetni1"/>
      </w:pPr>
      <w:r w:rsidRPr="00E97E0B">
        <w:rPr>
          <w:rStyle w:val="FootnoteReference"/>
        </w:rPr>
        <w:footnoteRef/>
      </w:r>
      <w:r w:rsidRPr="00E97E0B">
        <w:t xml:space="preserve"> Direction de l’information légale et administrative, (Yasal ve İdari Bilgi Müdürlüğü)</w:t>
      </w:r>
    </w:p>
  </w:footnote>
  <w:footnote w:id="184">
    <w:p w14:paraId="0201354B" w14:textId="7EDBE0D2" w:rsidR="003C2413" w:rsidRPr="00E97E0B" w:rsidRDefault="003C2413" w:rsidP="002858AE">
      <w:pPr>
        <w:pStyle w:val="DipnotMetni1"/>
        <w:spacing w:before="0" w:after="0" w:line="240" w:lineRule="auto"/>
      </w:pPr>
      <w:r w:rsidRPr="00E97E0B">
        <w:rPr>
          <w:rStyle w:val="FootnoteReference"/>
          <w:rFonts w:cs="Times New Roman"/>
        </w:rPr>
        <w:footnoteRef/>
      </w:r>
      <w:r w:rsidRPr="00E97E0B">
        <w:rPr>
          <w:rFonts w:cs="Times New Roman"/>
        </w:rPr>
        <w:t xml:space="preserve"> </w:t>
      </w:r>
      <w:r w:rsidRPr="00E97E0B">
        <w:t xml:space="preserve">  Daniel Gaxie, “Le vote comme disposition et comme transaction,” </w:t>
      </w:r>
      <w:r w:rsidRPr="00E97E0B">
        <w:rPr>
          <w:i/>
          <w:iCs/>
        </w:rPr>
        <w:t>Explication du vote</w:t>
      </w:r>
      <w:r w:rsidRPr="00E97E0B">
        <w:t xml:space="preserve"> içinde, (Paris: Presses de la FNSP, 1989), 16.   </w:t>
      </w:r>
    </w:p>
    <w:p w14:paraId="0366388B" w14:textId="77777777" w:rsidR="003C2413" w:rsidRPr="00E97E0B" w:rsidRDefault="003C2413" w:rsidP="002858AE">
      <w:pPr>
        <w:autoSpaceDE w:val="0"/>
        <w:autoSpaceDN w:val="0"/>
        <w:adjustRightInd w:val="0"/>
        <w:spacing w:line="240" w:lineRule="auto"/>
        <w:rPr>
          <w:rFonts w:cs="Times New Roman"/>
          <w:i/>
          <w:iCs/>
          <w:sz w:val="20"/>
          <w:szCs w:val="20"/>
        </w:rPr>
      </w:pPr>
    </w:p>
  </w:footnote>
  <w:footnote w:id="185">
    <w:p w14:paraId="0393EC1E" w14:textId="77777777" w:rsidR="003C2413" w:rsidRPr="00E97E0B" w:rsidRDefault="003C2413" w:rsidP="002858AE">
      <w:pPr>
        <w:pStyle w:val="DipnotMetni1"/>
        <w:spacing w:line="240" w:lineRule="auto"/>
      </w:pPr>
      <w:r w:rsidRPr="00E97E0B">
        <w:rPr>
          <w:rStyle w:val="FootnoteReference"/>
        </w:rPr>
        <w:footnoteRef/>
      </w:r>
      <w:r w:rsidRPr="00E97E0B">
        <w:t xml:space="preserve"> Vincent Borella ve Karine Ramondy, </w:t>
      </w:r>
      <w:r w:rsidRPr="00E97E0B">
        <w:rPr>
          <w:i/>
        </w:rPr>
        <w:t>Institutions et vie politique en France depuis 1945</w:t>
      </w:r>
      <w:r w:rsidRPr="00E97E0B">
        <w:t>, (Paris: Edition Ellipses, 2004), 5.</w:t>
      </w:r>
    </w:p>
  </w:footnote>
  <w:footnote w:id="186">
    <w:p w14:paraId="5CD5E72C" w14:textId="7E2080EF" w:rsidR="003C2413" w:rsidRPr="00E97E0B" w:rsidRDefault="003C2413" w:rsidP="002858AE">
      <w:pPr>
        <w:pStyle w:val="DipnotMetni1"/>
        <w:spacing w:before="0" w:after="0" w:line="240" w:lineRule="auto"/>
      </w:pPr>
      <w:r w:rsidRPr="00E97E0B">
        <w:rPr>
          <w:rStyle w:val="FootnoteReference"/>
        </w:rPr>
        <w:footnoteRef/>
      </w:r>
      <w:r w:rsidRPr="00E97E0B">
        <w:t xml:space="preserve"> Bastien François, </w:t>
      </w:r>
      <w:r w:rsidRPr="00E97E0B">
        <w:rPr>
          <w:i/>
        </w:rPr>
        <w:t>Le Régime Politique de la Vème République</w:t>
      </w:r>
      <w:r w:rsidRPr="00E97E0B">
        <w:t xml:space="preserve">, 5. </w:t>
      </w:r>
      <w:r w:rsidR="00647343" w:rsidRPr="00E97E0B">
        <w:t>bs.</w:t>
      </w:r>
      <w:r w:rsidRPr="00E97E0B">
        <w:t>, (La Découverte, 2011), 9, 10, 11, 19, 33.</w:t>
      </w:r>
    </w:p>
  </w:footnote>
  <w:footnote w:id="187">
    <w:p w14:paraId="15125AFB" w14:textId="3CB40F44" w:rsidR="003C2413" w:rsidRPr="00E97E0B" w:rsidRDefault="003C2413" w:rsidP="002858AE">
      <w:pPr>
        <w:pStyle w:val="DipnotMetni1"/>
        <w:spacing w:before="0" w:after="0" w:line="240" w:lineRule="auto"/>
      </w:pPr>
      <w:r w:rsidRPr="00E97E0B">
        <w:rPr>
          <w:rStyle w:val="FootnoteReference"/>
        </w:rPr>
        <w:footnoteRef/>
      </w:r>
      <w:r w:rsidRPr="00E97E0B">
        <w:t xml:space="preserve"> Ozan Örmeci, “Fransız Siyasi Kültürü,” </w:t>
      </w:r>
      <w:r w:rsidRPr="00E97E0B">
        <w:rPr>
          <w:i/>
        </w:rPr>
        <w:t>Fransa Siyaseti ve Dış Politikası</w:t>
      </w:r>
      <w:r w:rsidRPr="00E97E0B">
        <w:t xml:space="preserve"> içinde, ed(s) Ozan Örmeci ve Temmuz Yiğit Bezmez, (İstanbul: Bilgesam Yayınları, 2019), 72-73.</w:t>
      </w:r>
    </w:p>
  </w:footnote>
  <w:footnote w:id="188">
    <w:p w14:paraId="7C391384" w14:textId="24CC3812" w:rsidR="003C2413" w:rsidRPr="00E97E0B" w:rsidRDefault="003C2413" w:rsidP="002858AE">
      <w:pPr>
        <w:pStyle w:val="DipnotMetni1"/>
        <w:spacing w:before="0" w:after="0" w:line="240" w:lineRule="auto"/>
      </w:pPr>
      <w:r w:rsidRPr="00E97E0B">
        <w:rPr>
          <w:rStyle w:val="FootnoteReference"/>
        </w:rPr>
        <w:footnoteRef/>
      </w:r>
      <w:r w:rsidRPr="00E97E0B">
        <w:t xml:space="preserve"> Bastien François, “</w:t>
      </w:r>
      <w:r w:rsidRPr="00E97E0B">
        <w:rPr>
          <w:i/>
          <w:iCs/>
        </w:rPr>
        <w:t>Le Régime Politique de la Vème République</w:t>
      </w:r>
      <w:r w:rsidRPr="00E97E0B">
        <w:t>,” 73.</w:t>
      </w:r>
    </w:p>
  </w:footnote>
  <w:footnote w:id="189">
    <w:p w14:paraId="34AEA1F8" w14:textId="4115EA5D" w:rsidR="003C2413" w:rsidRPr="00E97E0B" w:rsidRDefault="003C2413" w:rsidP="002858AE">
      <w:pPr>
        <w:pStyle w:val="DipnotMetni1"/>
        <w:spacing w:before="0" w:after="0" w:line="240" w:lineRule="auto"/>
      </w:pPr>
      <w:r w:rsidRPr="00E97E0B">
        <w:rPr>
          <w:rStyle w:val="FootnoteReference"/>
        </w:rPr>
        <w:footnoteRef/>
      </w:r>
      <w:r w:rsidRPr="00E97E0B">
        <w:t xml:space="preserve"> Pascal Delwit, </w:t>
      </w:r>
      <w:r w:rsidRPr="00E97E0B">
        <w:rPr>
          <w:i/>
        </w:rPr>
        <w:t>Les Partis Politiques en France</w:t>
      </w:r>
      <w:r w:rsidRPr="00E97E0B">
        <w:t xml:space="preserve">, (Bruxelles: Editions de l’Université de Bruxelles: 2014) 17, 18. </w:t>
      </w:r>
    </w:p>
  </w:footnote>
  <w:footnote w:id="190">
    <w:p w14:paraId="2A887A0A" w14:textId="56944245"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7, 8.</w:t>
      </w:r>
    </w:p>
  </w:footnote>
  <w:footnote w:id="191">
    <w:p w14:paraId="50BEAE65"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Vincent Borella ve Karine Ramondy, </w:t>
      </w:r>
      <w:r w:rsidRPr="00E97E0B">
        <w:rPr>
          <w:i/>
          <w:iCs/>
        </w:rPr>
        <w:t>Institutions et vie politique en France depuis 1945</w:t>
      </w:r>
      <w:r w:rsidRPr="00E97E0B">
        <w:t>, 20-24.</w:t>
      </w:r>
    </w:p>
  </w:footnote>
  <w:footnote w:id="192">
    <w:p w14:paraId="3E352D96" w14:textId="0CC491CA" w:rsidR="003C2413" w:rsidRPr="00E97E0B" w:rsidRDefault="003C2413" w:rsidP="002858AE">
      <w:pPr>
        <w:pStyle w:val="DipnotMetni1"/>
        <w:spacing w:before="0" w:after="0" w:line="240" w:lineRule="auto"/>
      </w:pPr>
      <w:r w:rsidRPr="00E97E0B">
        <w:rPr>
          <w:rStyle w:val="FootnoteReference"/>
        </w:rPr>
        <w:footnoteRef/>
      </w:r>
      <w:r w:rsidRPr="00E97E0B">
        <w:t xml:space="preserve"> Pascal Delwit, “Les Partis Politiques en France,” 9, 10.</w:t>
      </w:r>
    </w:p>
  </w:footnote>
  <w:footnote w:id="193">
    <w:p w14:paraId="1922A59E"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Vincent Borella ve Karine Ramondy, </w:t>
      </w:r>
      <w:r w:rsidRPr="00E97E0B">
        <w:rPr>
          <w:i/>
        </w:rPr>
        <w:t>Institutions et vie politique en France depuis 1945</w:t>
      </w:r>
      <w:r w:rsidRPr="00E97E0B">
        <w:t>, 29.</w:t>
      </w:r>
    </w:p>
  </w:footnote>
  <w:footnote w:id="194">
    <w:p w14:paraId="613854DF" w14:textId="151F46F1"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27-30.</w:t>
      </w:r>
    </w:p>
  </w:footnote>
  <w:footnote w:id="195">
    <w:p w14:paraId="491CCAE0" w14:textId="46E0D6A3" w:rsidR="003C2413" w:rsidRPr="00E97E0B" w:rsidRDefault="003C2413" w:rsidP="002858AE">
      <w:pPr>
        <w:pStyle w:val="DipnotMetni1"/>
      </w:pPr>
      <w:r w:rsidRPr="00E97E0B">
        <w:rPr>
          <w:rStyle w:val="FootnoteReference"/>
        </w:rPr>
        <w:footnoteRef/>
      </w:r>
      <w:r w:rsidRPr="00E97E0B">
        <w:t xml:space="preserve"> </w:t>
      </w:r>
      <w:bookmarkStart w:id="115" w:name="_Hlk136297595"/>
      <w:r w:rsidRPr="00E97E0B">
        <w:rPr>
          <w:i/>
          <w:iCs/>
        </w:rPr>
        <w:t xml:space="preserve">L’histoire de France pour ceux qui ont tout oublié, </w:t>
      </w:r>
      <w:r w:rsidRPr="00E97E0B">
        <w:t xml:space="preserve">ed(s) 2. </w:t>
      </w:r>
      <w:r w:rsidR="00647343" w:rsidRPr="00E97E0B">
        <w:t>bs.,</w:t>
      </w:r>
      <w:r w:rsidRPr="00E97E0B">
        <w:t xml:space="preserve"> (Paris: </w:t>
      </w:r>
      <w:r w:rsidR="00527F0C" w:rsidRPr="00E97E0B">
        <w:t xml:space="preserve">Larousse, </w:t>
      </w:r>
      <w:r w:rsidRPr="00E97E0B">
        <w:t>2013), 514.</w:t>
      </w:r>
      <w:bookmarkEnd w:id="115"/>
    </w:p>
  </w:footnote>
  <w:footnote w:id="196">
    <w:p w14:paraId="709FC15F"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Vincent Borella ve Karine Ramondy, </w:t>
      </w:r>
      <w:r w:rsidRPr="00E97E0B">
        <w:rPr>
          <w:i/>
        </w:rPr>
        <w:t>Institutions et vie politique en France depuis 1945</w:t>
      </w:r>
      <w:r w:rsidRPr="00E97E0B">
        <w:t>, 67-84.</w:t>
      </w:r>
    </w:p>
  </w:footnote>
  <w:footnote w:id="197">
    <w:p w14:paraId="3BCA5D16" w14:textId="22A10EFB"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67-87.</w:t>
      </w:r>
    </w:p>
  </w:footnote>
  <w:footnote w:id="198">
    <w:p w14:paraId="5D61ED55"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Pascal Delwit, </w:t>
      </w:r>
      <w:r w:rsidRPr="00E97E0B">
        <w:rPr>
          <w:i/>
        </w:rPr>
        <w:t>Les Partis Politiques en France</w:t>
      </w:r>
      <w:r w:rsidRPr="00E97E0B">
        <w:t>, 17.</w:t>
      </w:r>
    </w:p>
  </w:footnote>
  <w:footnote w:id="199">
    <w:p w14:paraId="10DAB5A4" w14:textId="5A524863" w:rsidR="003C2413" w:rsidRPr="00E97E0B" w:rsidRDefault="003C2413" w:rsidP="00AB5D2D">
      <w:pPr>
        <w:pStyle w:val="DipnotMetni1"/>
        <w:spacing w:before="0" w:after="0" w:line="240" w:lineRule="auto"/>
      </w:pPr>
      <w:r w:rsidRPr="00E97E0B">
        <w:rPr>
          <w:rStyle w:val="FootnoteReference"/>
        </w:rPr>
        <w:footnoteRef/>
      </w:r>
      <w:r w:rsidRPr="00E97E0B">
        <w:t xml:space="preserve"> </w:t>
      </w:r>
      <w:bookmarkStart w:id="116" w:name="_Hlk136297707"/>
      <w:r w:rsidRPr="00E97E0B">
        <w:t xml:space="preserve">Laurent Guimier, </w:t>
      </w:r>
      <w:r w:rsidRPr="00E97E0B">
        <w:rPr>
          <w:i/>
          <w:iCs/>
        </w:rPr>
        <w:t>Elections Présidentielles: Archive Photographique de la Vème République</w:t>
      </w:r>
      <w:r w:rsidRPr="00E97E0B">
        <w:t>, (Paris: Gründ, 2012), 217.</w:t>
      </w:r>
      <w:bookmarkEnd w:id="116"/>
    </w:p>
  </w:footnote>
  <w:footnote w:id="200">
    <w:p w14:paraId="31770D4D" w14:textId="59931347" w:rsidR="003C2413" w:rsidRPr="00E97E0B" w:rsidRDefault="003C2413" w:rsidP="00AB5D2D">
      <w:pPr>
        <w:pStyle w:val="DipnotMetni1"/>
        <w:spacing w:before="0" w:after="0" w:line="240" w:lineRule="auto"/>
      </w:pPr>
      <w:r w:rsidRPr="00E97E0B">
        <w:rPr>
          <w:rStyle w:val="FootnoteReference"/>
        </w:rPr>
        <w:footnoteRef/>
      </w:r>
      <w:r w:rsidRPr="00E97E0B">
        <w:t xml:space="preserve"> Florent Gougou ve Simon Labouret, “La fin de la tripartition? Les recompositions de la droite et la transformation du système partisan,” Revue française de science politique, 10.3917/rfsp.632.0279, 279-302. c.63, s.2 (Nisan 2013), 279-302. </w:t>
      </w:r>
    </w:p>
  </w:footnote>
  <w:footnote w:id="201">
    <w:p w14:paraId="3F4609B5" w14:textId="02F0FB34"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279, 280.</w:t>
      </w:r>
    </w:p>
  </w:footnote>
  <w:footnote w:id="202">
    <w:p w14:paraId="7CEF2A36" w14:textId="43BF28AA" w:rsidR="003C2413" w:rsidRPr="00E97E0B" w:rsidRDefault="003C2413" w:rsidP="002858AE">
      <w:pPr>
        <w:pStyle w:val="DipnotMetni1"/>
        <w:spacing w:before="0" w:after="0" w:line="240" w:lineRule="auto"/>
      </w:pPr>
      <w:r w:rsidRPr="00E97E0B">
        <w:rPr>
          <w:rStyle w:val="FootnoteReference"/>
        </w:rPr>
        <w:footnoteRef/>
      </w:r>
      <w:r w:rsidRPr="00E97E0B">
        <w:t xml:space="preserve"> Pascal Delwit, “Les Partis Politiques en France,” 50.</w:t>
      </w:r>
    </w:p>
  </w:footnote>
  <w:footnote w:id="203">
    <w:p w14:paraId="7E334210" w14:textId="370AF840"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Pr="00E97E0B">
        <w:rPr>
          <w:rFonts w:cs="Times New Roman"/>
        </w:rPr>
        <w:t xml:space="preserve">Yves Poirmeur, </w:t>
      </w:r>
      <w:r w:rsidRPr="00E97E0B">
        <w:rPr>
          <w:rFonts w:cs="Times New Roman"/>
          <w:i/>
          <w:iCs/>
        </w:rPr>
        <w:t>Les partis politiques en France: Du XIXe au XXIe siècle en France</w:t>
      </w:r>
      <w:r w:rsidRPr="00E97E0B">
        <w:rPr>
          <w:rFonts w:cs="Times New Roman"/>
        </w:rPr>
        <w:t>, (Paris: LGDG Systèmes, Lextenso éditions, 2014), 119.</w:t>
      </w:r>
    </w:p>
  </w:footnote>
  <w:footnote w:id="204">
    <w:p w14:paraId="0F7A681C" w14:textId="775D9C7F"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rPr>
          <w:rFonts w:cs="Times New Roman"/>
        </w:rPr>
        <w:t>Ibid.</w:t>
      </w:r>
      <w:r w:rsidRPr="00E97E0B">
        <w:rPr>
          <w:rFonts w:cs="Times New Roman"/>
        </w:rPr>
        <w:t>, 132.</w:t>
      </w:r>
    </w:p>
  </w:footnote>
  <w:footnote w:id="205">
    <w:p w14:paraId="65F8BD3B" w14:textId="609F2F67" w:rsidR="003C2413" w:rsidRPr="00E97E0B" w:rsidRDefault="003C2413" w:rsidP="002858AE">
      <w:pPr>
        <w:pStyle w:val="DipnotMetni1"/>
        <w:spacing w:before="0" w:after="0" w:line="240" w:lineRule="auto"/>
      </w:pPr>
      <w:r w:rsidRPr="00E97E0B">
        <w:rPr>
          <w:rStyle w:val="FootnoteReference"/>
        </w:rPr>
        <w:footnoteRef/>
      </w:r>
      <w:r w:rsidRPr="00E97E0B">
        <w:t xml:space="preserve"> Niyazi Berkes, Türkiye’de Çağdaşlaşma, 18. </w:t>
      </w:r>
      <w:r w:rsidR="00647343" w:rsidRPr="00E97E0B">
        <w:t>bs.</w:t>
      </w:r>
      <w:r w:rsidRPr="00E97E0B">
        <w:t xml:space="preserve">, (İstanbul: Yapıkredi Yayınları, 2012), 169-170; Carter Vaughn Findley, </w:t>
      </w:r>
      <w:r w:rsidRPr="00E97E0B">
        <w:rPr>
          <w:i/>
          <w:iCs/>
        </w:rPr>
        <w:t>Turkey, Islam, Nationalism and Modernity: A History 1789-2007</w:t>
      </w:r>
      <w:r w:rsidRPr="00E97E0B">
        <w:t>, (New Haven &amp; London: Yale University Press, 2010), 97</w:t>
      </w:r>
    </w:p>
  </w:footnote>
  <w:footnote w:id="206">
    <w:p w14:paraId="12807014" w14:textId="6D2B5B49"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433.</w:t>
      </w:r>
    </w:p>
  </w:footnote>
  <w:footnote w:id="207">
    <w:p w14:paraId="64587B77" w14:textId="0C15402D" w:rsidR="003C2413" w:rsidRPr="00E97E0B" w:rsidRDefault="003C2413" w:rsidP="002858AE">
      <w:pPr>
        <w:pStyle w:val="DipnotMetni1"/>
        <w:spacing w:before="0" w:after="0" w:line="240" w:lineRule="auto"/>
      </w:pPr>
      <w:r w:rsidRPr="00E97E0B">
        <w:rPr>
          <w:rStyle w:val="FootnoteReference"/>
        </w:rPr>
        <w:footnoteRef/>
      </w:r>
      <w:r w:rsidRPr="00E97E0B">
        <w:t xml:space="preserve"> Kemal Gözler, Türk Anayasa Hukuku, 2. </w:t>
      </w:r>
      <w:r w:rsidR="00522DD1" w:rsidRPr="00E97E0B">
        <w:t>bs.</w:t>
      </w:r>
      <w:r w:rsidRPr="00E97E0B">
        <w:t>, (Bursa: Ekin Bası</w:t>
      </w:r>
      <w:r w:rsidR="00E732B5" w:rsidRPr="00E97E0B">
        <w:t>m</w:t>
      </w:r>
      <w:r w:rsidRPr="00E97E0B">
        <w:t xml:space="preserve"> Yayın Dağıtım, Temmuz 2018), 77, 79.</w:t>
      </w:r>
    </w:p>
  </w:footnote>
  <w:footnote w:id="208">
    <w:p w14:paraId="1E8CE2A3" w14:textId="05BF2956" w:rsidR="003C2413" w:rsidRPr="00E97E0B" w:rsidRDefault="003C2413" w:rsidP="007959B4">
      <w:pPr>
        <w:pStyle w:val="FootnoteText"/>
        <w:rPr>
          <w:rFonts w:ascii="Times New Roman" w:hAnsi="Times New Roman" w:cs="Times New Roman"/>
        </w:rPr>
      </w:pPr>
      <w:r w:rsidRPr="00E97E0B">
        <w:rPr>
          <w:rStyle w:val="FootnoteReference"/>
          <w:rFonts w:ascii="Times New Roman" w:hAnsi="Times New Roman" w:cs="Times New Roman"/>
        </w:rPr>
        <w:footnoteRef/>
      </w:r>
      <w:r w:rsidRPr="00E97E0B">
        <w:rPr>
          <w:rFonts w:ascii="Times New Roman" w:hAnsi="Times New Roman" w:cs="Times New Roman"/>
        </w:rPr>
        <w:t xml:space="preserve"> Türkiye İstatistik Kurumu (TÜİK), Milletvekili Genel Seçimleri 1923-2011, (Ankara: Haziran 2012), 25.</w:t>
      </w:r>
    </w:p>
  </w:footnote>
  <w:footnote w:id="209">
    <w:p w14:paraId="31857A05" w14:textId="3E9C79A9" w:rsidR="003C2413" w:rsidRPr="00E97E0B" w:rsidRDefault="003C2413" w:rsidP="002858AE">
      <w:pPr>
        <w:pStyle w:val="DipnotMetni1"/>
        <w:spacing w:before="0" w:after="0" w:line="240" w:lineRule="auto"/>
      </w:pPr>
      <w:r w:rsidRPr="00E97E0B">
        <w:rPr>
          <w:rStyle w:val="FootnoteReference"/>
        </w:rPr>
        <w:footnoteRef/>
      </w:r>
      <w:r w:rsidRPr="00E97E0B">
        <w:t xml:space="preserve"> Hüseyin Kılıç, “Seçim Sistemleri Partiler Üzerine Yansıması ve Yeni Sistem Arayışları,” Yüksek Lisans Tezi, İstanbul Üniversitesi Sosyal Bilimler Enstitüsü, 63.</w:t>
      </w:r>
    </w:p>
  </w:footnote>
  <w:footnote w:id="210">
    <w:p w14:paraId="55A48818" w14:textId="26FBD3FE" w:rsidR="003C2413" w:rsidRPr="00E97E0B" w:rsidRDefault="003C2413">
      <w:pPr>
        <w:pStyle w:val="FootnoteText"/>
        <w:rPr>
          <w:rFonts w:ascii="Times New Roman" w:hAnsi="Times New Roman" w:cs="Times New Roman"/>
        </w:rPr>
      </w:pPr>
      <w:r w:rsidRPr="00E97E0B">
        <w:rPr>
          <w:rStyle w:val="FootnoteReference"/>
          <w:rFonts w:ascii="Times New Roman" w:hAnsi="Times New Roman" w:cs="Times New Roman"/>
        </w:rPr>
        <w:footnoteRef/>
      </w:r>
      <w:r w:rsidRPr="00E97E0B">
        <w:rPr>
          <w:rFonts w:ascii="Times New Roman" w:hAnsi="Times New Roman" w:cs="Times New Roman"/>
        </w:rPr>
        <w:t xml:space="preserve"> Türkiye İstatistik Kurumu (TÜİK), Milletvekili Genel Seçimleri 1923-2011, 25.</w:t>
      </w:r>
    </w:p>
  </w:footnote>
  <w:footnote w:id="211">
    <w:p w14:paraId="68A6D9F8" w14:textId="1A33A1F9" w:rsidR="003C2413" w:rsidRPr="00E97E0B" w:rsidRDefault="003C2413" w:rsidP="002858AE">
      <w:pPr>
        <w:pStyle w:val="DipnotMetni1"/>
        <w:spacing w:before="0" w:after="0" w:line="240" w:lineRule="auto"/>
      </w:pPr>
      <w:r w:rsidRPr="00E97E0B">
        <w:rPr>
          <w:rStyle w:val="FootnoteReference"/>
        </w:rPr>
        <w:footnoteRef/>
      </w:r>
      <w:r w:rsidRPr="00E97E0B">
        <w:t xml:space="preserve"> Ergun Özbudun, “Seçim Sitemleri ve Türkiye,” Ankara Ünivers</w:t>
      </w:r>
      <w:r w:rsidR="00527F0C" w:rsidRPr="00E97E0B">
        <w:t>itesi Hukuk Fakültesi Dergisi, c</w:t>
      </w:r>
      <w:r w:rsidRPr="00E97E0B">
        <w:t>. 44 (Ankara, 1995), 528, 529.</w:t>
      </w:r>
    </w:p>
  </w:footnote>
  <w:footnote w:id="212">
    <w:p w14:paraId="6404FC39" w14:textId="116E630F" w:rsidR="003C2413" w:rsidRPr="00E97E0B" w:rsidRDefault="003C2413" w:rsidP="002858AE">
      <w:pPr>
        <w:pStyle w:val="DipnotMetni1"/>
        <w:spacing w:before="0" w:after="0" w:line="240" w:lineRule="auto"/>
      </w:pPr>
      <w:r w:rsidRPr="00E97E0B">
        <w:rPr>
          <w:rStyle w:val="FootnoteReference"/>
        </w:rPr>
        <w:footnoteRef/>
      </w:r>
      <w:r w:rsidRPr="00E97E0B">
        <w:t xml:space="preserve"> Sina Akşin, </w:t>
      </w:r>
      <w:r w:rsidRPr="00E97E0B">
        <w:rPr>
          <w:i/>
        </w:rPr>
        <w:t>Kısa Türkiye Tarihi</w:t>
      </w:r>
      <w:r w:rsidRPr="00E97E0B">
        <w:t xml:space="preserve">, 20 </w:t>
      </w:r>
      <w:r w:rsidR="00647343" w:rsidRPr="00E97E0B">
        <w:t>bs.</w:t>
      </w:r>
      <w:r w:rsidRPr="00E97E0B">
        <w:t xml:space="preserve">, </w:t>
      </w:r>
      <w:r w:rsidR="00527F0C" w:rsidRPr="00E97E0B">
        <w:t>(</w:t>
      </w:r>
      <w:r w:rsidRPr="00E97E0B">
        <w:t>İstanbul: İş Bankası Yayınları, Ocak 2016), 266.</w:t>
      </w:r>
    </w:p>
  </w:footnote>
  <w:footnote w:id="213">
    <w:p w14:paraId="2E4CFD96" w14:textId="707D8FAC" w:rsidR="003C2413" w:rsidRPr="00E97E0B" w:rsidRDefault="003C2413" w:rsidP="002858AE">
      <w:pPr>
        <w:pStyle w:val="DipnotMetni1"/>
        <w:spacing w:before="0" w:after="0" w:line="240" w:lineRule="auto"/>
      </w:pPr>
      <w:r w:rsidRPr="00E97E0B">
        <w:rPr>
          <w:rStyle w:val="FootnoteReference"/>
        </w:rPr>
        <w:footnoteRef/>
      </w:r>
      <w:r w:rsidRPr="00E97E0B">
        <w:t xml:space="preserve"> Hüseyin Kılıç, “Seçim Sistemleri Partiler Üzerine Yansıması ve Yeni Sistem Arayışları,” 81.</w:t>
      </w:r>
    </w:p>
  </w:footnote>
  <w:footnote w:id="214">
    <w:p w14:paraId="558CD087" w14:textId="349F5D7D" w:rsidR="003C2413" w:rsidRPr="00E97E0B" w:rsidRDefault="003C2413">
      <w:pPr>
        <w:pStyle w:val="FootnoteText"/>
        <w:rPr>
          <w:rFonts w:ascii="Times New Roman" w:hAnsi="Times New Roman" w:cs="Times New Roman"/>
        </w:rPr>
      </w:pPr>
      <w:r w:rsidRPr="00E97E0B">
        <w:rPr>
          <w:rStyle w:val="FootnoteReference"/>
          <w:rFonts w:ascii="Times New Roman" w:hAnsi="Times New Roman" w:cs="Times New Roman"/>
        </w:rPr>
        <w:footnoteRef/>
      </w:r>
      <w:r w:rsidRPr="00E97E0B">
        <w:rPr>
          <w:rFonts w:ascii="Times New Roman" w:hAnsi="Times New Roman" w:cs="Times New Roman"/>
        </w:rPr>
        <w:t xml:space="preserve"> Türkiye İstatistik Kurumu (TÜİK), Milletvekili Genel Seçimleri 1923-2011, 25.</w:t>
      </w:r>
    </w:p>
  </w:footnote>
  <w:footnote w:id="215">
    <w:p w14:paraId="5AA92607" w14:textId="3AE45CEC" w:rsidR="003C2413" w:rsidRPr="00E97E0B" w:rsidRDefault="003C2413" w:rsidP="00B93441">
      <w:pPr>
        <w:pStyle w:val="DipnotMetni1"/>
        <w:spacing w:before="0" w:after="0" w:line="240" w:lineRule="auto"/>
      </w:pPr>
      <w:r w:rsidRPr="00E97E0B">
        <w:rPr>
          <w:rStyle w:val="FootnoteReference"/>
        </w:rPr>
        <w:footnoteRef/>
      </w:r>
      <w:r w:rsidR="00527F0C" w:rsidRPr="00E97E0B">
        <w:t xml:space="preserve"> Sina Akşin, </w:t>
      </w:r>
      <w:r w:rsidRPr="00E97E0B">
        <w:rPr>
          <w:i/>
        </w:rPr>
        <w:t xml:space="preserve">Kısa Türkiye Tarihi, </w:t>
      </w:r>
      <w:r w:rsidRPr="00E97E0B">
        <w:t>269.</w:t>
      </w:r>
    </w:p>
  </w:footnote>
  <w:footnote w:id="216">
    <w:p w14:paraId="2624BFC6" w14:textId="1B19778B" w:rsidR="003C2413" w:rsidRPr="00E97E0B" w:rsidRDefault="003C2413" w:rsidP="00B93441">
      <w:pPr>
        <w:pStyle w:val="DipnotMetni1"/>
        <w:spacing w:before="0" w:after="0" w:line="240" w:lineRule="auto"/>
      </w:pPr>
      <w:r w:rsidRPr="00E97E0B">
        <w:rPr>
          <w:rStyle w:val="FootnoteReference"/>
        </w:rPr>
        <w:footnoteRef/>
      </w:r>
      <w:r w:rsidRPr="00E97E0B">
        <w:t xml:space="preserve"> </w:t>
      </w:r>
      <w:r w:rsidR="004671D2">
        <w:t>Ibid.</w:t>
      </w:r>
      <w:r w:rsidRPr="00E97E0B">
        <w:t>, 276.</w:t>
      </w:r>
    </w:p>
  </w:footnote>
  <w:footnote w:id="217">
    <w:p w14:paraId="6ADDD19D" w14:textId="520F04E8"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277.</w:t>
      </w:r>
    </w:p>
  </w:footnote>
  <w:footnote w:id="218">
    <w:p w14:paraId="5ABF6733" w14:textId="0D3F590C"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278, 279.</w:t>
      </w:r>
    </w:p>
  </w:footnote>
  <w:footnote w:id="219">
    <w:p w14:paraId="7BE6F068" w14:textId="552BE162" w:rsidR="003C2413" w:rsidRPr="00E97E0B" w:rsidRDefault="003C2413" w:rsidP="002858AE">
      <w:pPr>
        <w:pStyle w:val="DipnotMetni1"/>
        <w:spacing w:before="0" w:after="0" w:line="240" w:lineRule="auto"/>
      </w:pPr>
      <w:r w:rsidRPr="00E97E0B">
        <w:rPr>
          <w:rStyle w:val="FootnoteReference"/>
        </w:rPr>
        <w:footnoteRef/>
      </w:r>
      <w:r w:rsidRPr="00E97E0B">
        <w:t xml:space="preserve"> Kemal Karpat, </w:t>
      </w:r>
      <w:r w:rsidRPr="00E97E0B">
        <w:rPr>
          <w:i/>
          <w:iCs/>
        </w:rPr>
        <w:t>Kısa Türkiye Tarihi: 1802-2012</w:t>
      </w:r>
      <w:r w:rsidRPr="00E97E0B">
        <w:t xml:space="preserve">, 3. </w:t>
      </w:r>
      <w:r w:rsidR="00B11E1A" w:rsidRPr="00E97E0B">
        <w:t>bs.,</w:t>
      </w:r>
      <w:r w:rsidRPr="00E97E0B">
        <w:t xml:space="preserve"> (İstanbul: Timaş Yayınları, 2013), 211.</w:t>
      </w:r>
    </w:p>
  </w:footnote>
  <w:footnote w:id="220">
    <w:p w14:paraId="0D7268FB" w14:textId="082AA58C" w:rsidR="003C2413" w:rsidRPr="00E97E0B" w:rsidRDefault="003C2413">
      <w:pPr>
        <w:pStyle w:val="FootnoteText"/>
      </w:pPr>
      <w:r w:rsidRPr="00E97E0B">
        <w:rPr>
          <w:rStyle w:val="FootnoteReference"/>
        </w:rPr>
        <w:footnoteRef/>
      </w:r>
      <w:r w:rsidRPr="00E97E0B">
        <w:t xml:space="preserve"> </w:t>
      </w:r>
      <w:r w:rsidRPr="00E97E0B">
        <w:rPr>
          <w:rFonts w:ascii="Times New Roman" w:hAnsi="Times New Roman" w:cs="Times New Roman"/>
        </w:rPr>
        <w:t>Yüksek Seçim Kurulu, 1983-2007 Yılları Arasında Yapılan Milletvekili Genel Seçimleri, [Erişim 15.08.2022], https://www.ysk.gov.tr/tr/1983-2007-yillari-arasi-milletvekili-genel-secimleri/3008</w:t>
      </w:r>
    </w:p>
  </w:footnote>
  <w:footnote w:id="221">
    <w:p w14:paraId="0CB5C3FF" w14:textId="3B1DB770" w:rsidR="003C2413" w:rsidRPr="00E97E0B" w:rsidRDefault="003C2413">
      <w:pPr>
        <w:pStyle w:val="FootnoteText"/>
        <w:rPr>
          <w:rFonts w:ascii="Times New Roman" w:hAnsi="Times New Roman" w:cs="Times New Roman"/>
        </w:rPr>
      </w:pPr>
      <w:r w:rsidRPr="00E97E0B">
        <w:rPr>
          <w:rStyle w:val="FootnoteReference"/>
          <w:rFonts w:ascii="Times New Roman" w:hAnsi="Times New Roman" w:cs="Times New Roman"/>
        </w:rPr>
        <w:footnoteRef/>
      </w:r>
      <w:r w:rsidRPr="00E97E0B">
        <w:rPr>
          <w:rFonts w:ascii="Times New Roman" w:hAnsi="Times New Roman" w:cs="Times New Roman"/>
        </w:rPr>
        <w:t xml:space="preserve"> </w:t>
      </w:r>
      <w:r w:rsidR="004671D2">
        <w:rPr>
          <w:rFonts w:ascii="Times New Roman" w:hAnsi="Times New Roman" w:cs="Times New Roman"/>
        </w:rPr>
        <w:t>Ibid.</w:t>
      </w:r>
    </w:p>
  </w:footnote>
  <w:footnote w:id="222">
    <w:p w14:paraId="6CEADB53" w14:textId="659B21B9" w:rsidR="003C2413" w:rsidRPr="00E97E0B" w:rsidRDefault="003C2413" w:rsidP="003004D4">
      <w:pPr>
        <w:pStyle w:val="FootnoteText"/>
        <w:rPr>
          <w:rFonts w:ascii="Times New Roman" w:hAnsi="Times New Roman" w:cs="Times New Roman"/>
        </w:rPr>
      </w:pPr>
      <w:r w:rsidRPr="00E97E0B">
        <w:rPr>
          <w:rStyle w:val="FootnoteReference"/>
          <w:rFonts w:ascii="Times New Roman" w:hAnsi="Times New Roman" w:cs="Times New Roman"/>
        </w:rPr>
        <w:footnoteRef/>
      </w:r>
      <w:r w:rsidRPr="00E97E0B">
        <w:rPr>
          <w:rFonts w:ascii="Times New Roman" w:hAnsi="Times New Roman" w:cs="Times New Roman"/>
        </w:rPr>
        <w:t xml:space="preserve"> Yüksek Seçim Kurulu Resmi Sitesi, 1983-2007 Yılları Arası Seçim Çevresine Göre Milletvekili Genel Seçimi Sonuçları, Erişim [17.08.2012], https://www.ysk.gov.tr/tr/1983-2007-yillari-arasi-milletvekili-genel-secimleri/3008</w:t>
      </w:r>
    </w:p>
  </w:footnote>
  <w:footnote w:id="223">
    <w:p w14:paraId="066A3E14" w14:textId="3E5AD5F9" w:rsidR="003C2413" w:rsidRPr="00E97E0B" w:rsidRDefault="003C2413">
      <w:pPr>
        <w:pStyle w:val="FootnoteText"/>
      </w:pPr>
      <w:r w:rsidRPr="00E97E0B">
        <w:rPr>
          <w:rStyle w:val="FootnoteReference"/>
        </w:rPr>
        <w:footnoteRef/>
      </w:r>
      <w:r w:rsidRPr="00E97E0B">
        <w:t xml:space="preserve"> </w:t>
      </w:r>
      <w:r w:rsidR="004671D2">
        <w:t>Ibid.</w:t>
      </w:r>
    </w:p>
  </w:footnote>
  <w:footnote w:id="224">
    <w:p w14:paraId="41D9B266" w14:textId="5F4AA6D4" w:rsidR="003C2413" w:rsidRPr="00E97E0B" w:rsidRDefault="003C2413">
      <w:pPr>
        <w:pStyle w:val="FootnoteText"/>
      </w:pPr>
      <w:r w:rsidRPr="00E97E0B">
        <w:rPr>
          <w:rStyle w:val="FootnoteReference"/>
        </w:rPr>
        <w:footnoteRef/>
      </w:r>
      <w:r w:rsidRPr="00E97E0B">
        <w:t xml:space="preserve"> </w:t>
      </w:r>
      <w:r w:rsidR="004671D2">
        <w:t>Ibid.</w:t>
      </w:r>
    </w:p>
  </w:footnote>
  <w:footnote w:id="225">
    <w:p w14:paraId="65A1C0A9" w14:textId="381412E0" w:rsidR="003C2413" w:rsidRPr="00E97E0B" w:rsidRDefault="003C2413" w:rsidP="002858AE">
      <w:pPr>
        <w:pStyle w:val="DipnotMetni1"/>
        <w:spacing w:before="0" w:after="0" w:line="240" w:lineRule="auto"/>
      </w:pPr>
      <w:r w:rsidRPr="00E97E0B">
        <w:rPr>
          <w:rStyle w:val="FootnoteReference"/>
        </w:rPr>
        <w:footnoteRef/>
      </w:r>
      <w:r w:rsidRPr="00E97E0B">
        <w:t xml:space="preserve"> Enes Malik Çakır, “1991 – 2002 Yılları Arasında Koalisyon Hükümetleri Yönetimi,” IBAD </w:t>
      </w:r>
      <w:r w:rsidRPr="00E97E0B">
        <w:rPr>
          <w:i/>
          <w:iCs/>
        </w:rPr>
        <w:t>Sosyal Bilimler Dergisi</w:t>
      </w:r>
      <w:r w:rsidRPr="00E97E0B">
        <w:t xml:space="preserve">, </w:t>
      </w:r>
      <w:r w:rsidR="00691CE2" w:rsidRPr="00E97E0B">
        <w:t>s</w:t>
      </w:r>
      <w:r w:rsidRPr="00E97E0B">
        <w:t>. 6, 2020, 33.</w:t>
      </w:r>
    </w:p>
  </w:footnote>
  <w:footnote w:id="226">
    <w:p w14:paraId="09690F68" w14:textId="635CEA4B" w:rsidR="003C2413" w:rsidRPr="00E97E0B" w:rsidRDefault="003C2413" w:rsidP="002858AE">
      <w:pPr>
        <w:pStyle w:val="DipnotMetni1"/>
        <w:spacing w:before="0" w:after="0" w:line="240" w:lineRule="auto"/>
      </w:pPr>
      <w:r w:rsidRPr="00E97E0B">
        <w:t xml:space="preserve"> </w:t>
      </w:r>
      <w:r w:rsidRPr="00E97E0B">
        <w:rPr>
          <w:rStyle w:val="FootnoteReference"/>
        </w:rPr>
        <w:footnoteRef/>
      </w:r>
      <w:r w:rsidRPr="00E97E0B">
        <w:t xml:space="preserve"> Oğuz Göksu, “Ak Parti’nin Seçim Stratejileri ve Siyasal Kampanyaları: 2002-2014 Dönemi Analizi,” </w:t>
      </w:r>
      <w:r w:rsidRPr="00E97E0B">
        <w:rPr>
          <w:i/>
          <w:iCs/>
        </w:rPr>
        <w:t>Turkish Studies Social Sciences</w:t>
      </w:r>
      <w:r w:rsidRPr="00E97E0B">
        <w:t xml:space="preserve">, </w:t>
      </w:r>
      <w:r w:rsidR="00B84D6B" w:rsidRPr="00E97E0B">
        <w:t>c</w:t>
      </w:r>
      <w:r w:rsidRPr="00E97E0B">
        <w:t xml:space="preserve">.14, </w:t>
      </w:r>
      <w:r w:rsidR="00B84D6B" w:rsidRPr="00E97E0B">
        <w:t>s</w:t>
      </w:r>
      <w:r w:rsidRPr="00E97E0B">
        <w:t>. 3, (Ankara, 2019), 589-621,</w:t>
      </w:r>
      <w:r w:rsidR="00C12451" w:rsidRPr="00E97E0B">
        <w:t xml:space="preserve"> http://dx.doi.org/</w:t>
      </w:r>
      <w:r w:rsidRPr="00E97E0B">
        <w:t>10.29228/TurkishStudies.22907.</w:t>
      </w:r>
    </w:p>
  </w:footnote>
  <w:footnote w:id="227">
    <w:p w14:paraId="1E80AD80" w14:textId="66B2E92C"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589-621.</w:t>
      </w:r>
    </w:p>
  </w:footnote>
  <w:footnote w:id="228">
    <w:p w14:paraId="498CBB20" w14:textId="47C35276" w:rsidR="003C2413" w:rsidRPr="00E97E0B" w:rsidRDefault="003C2413" w:rsidP="002858AE">
      <w:pPr>
        <w:pStyle w:val="DipnotMetni1"/>
        <w:spacing w:before="0" w:after="0" w:line="240" w:lineRule="auto"/>
      </w:pPr>
      <w:r w:rsidRPr="00E97E0B">
        <w:rPr>
          <w:rStyle w:val="FootnoteReference"/>
        </w:rPr>
        <w:footnoteRef/>
      </w:r>
      <w:r w:rsidRPr="00E97E0B">
        <w:t xml:space="preserve"> Korkut Boratav, “AKP’li Yıllarda Türkiye Ekonomisi,” </w:t>
      </w:r>
      <w:r w:rsidRPr="00E97E0B">
        <w:rPr>
          <w:i/>
          <w:iCs/>
        </w:rPr>
        <w:t xml:space="preserve">AKP Kitabı Bir Dönüşümün Bilançosu (2002-2009) </w:t>
      </w:r>
      <w:r w:rsidRPr="00E97E0B">
        <w:t xml:space="preserve">içinde, 3. </w:t>
      </w:r>
      <w:r w:rsidR="00900871" w:rsidRPr="00E97E0B">
        <w:t>bs.</w:t>
      </w:r>
      <w:r w:rsidRPr="00E97E0B">
        <w:t>, ed(s) İlhan Uzgel ve Bülent Duru, 464, 465.</w:t>
      </w:r>
    </w:p>
  </w:footnote>
  <w:footnote w:id="229">
    <w:p w14:paraId="36F39A3C" w14:textId="2CC20D9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Pr="00E97E0B">
        <w:rPr>
          <w:rStyle w:val="Kpr1"/>
          <w:rFonts w:ascii="Times" w:hAnsi="Times"/>
          <w:color w:val="000000" w:themeColor="text1"/>
          <w:u w:val="none"/>
        </w:rPr>
        <w:t>“Résultats de l'élection présidentielle 2007.” Présidentielles. İnterieur.gouv.fr, [Erişim: 10.01.2022]. https://www.interieur.gouv.fr/Elections/Les-resultats/Presidentielles/elecresult__presidentielle_2007/(path)/presidentielle_2007/FE.html</w:t>
      </w:r>
    </w:p>
  </w:footnote>
  <w:footnote w:id="230">
    <w:p w14:paraId="3A70C0F2" w14:textId="25E8ED1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27" w:name="_Hlk119271324"/>
      <w:r w:rsidRPr="00E97E0B">
        <w:rPr>
          <w:rFonts w:ascii="Times" w:hAnsi="Times"/>
        </w:rPr>
        <w:t xml:space="preserve">Michel Bussi, Jérôme Fourquet, “Elections présidentielles 2007: Neuf Cartes pour comprendre,” </w:t>
      </w:r>
      <w:r w:rsidRPr="00E97E0B">
        <w:rPr>
          <w:rFonts w:ascii="Times" w:hAnsi="Times"/>
          <w:i/>
          <w:iCs/>
        </w:rPr>
        <w:t xml:space="preserve">Revue française de Science Politique </w:t>
      </w:r>
      <w:r w:rsidRPr="00E97E0B">
        <w:rPr>
          <w:rFonts w:ascii="Times" w:hAnsi="Times"/>
        </w:rPr>
        <w:t>57, s. 3 (2007), 412, 413.</w:t>
      </w:r>
      <w:bookmarkEnd w:id="127"/>
    </w:p>
  </w:footnote>
  <w:footnote w:id="231">
    <w:p w14:paraId="12A6D2E4" w14:textId="51C96A7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29" w:name="_Hlk119271387"/>
      <w:r w:rsidRPr="00E97E0B">
        <w:rPr>
          <w:rFonts w:ascii="Times" w:hAnsi="Times"/>
        </w:rPr>
        <w:t xml:space="preserve">Eric Fassin, “Les Couleurs de la Représentation,” </w:t>
      </w:r>
      <w:r w:rsidRPr="00E97E0B">
        <w:rPr>
          <w:rFonts w:ascii="Times" w:hAnsi="Times"/>
          <w:i/>
          <w:iCs/>
        </w:rPr>
        <w:t xml:space="preserve">Revue Française de Science Politique, </w:t>
      </w:r>
      <w:r w:rsidRPr="00E97E0B">
        <w:rPr>
          <w:rFonts w:ascii="Times" w:hAnsi="Times"/>
        </w:rPr>
        <w:t>c. 60, s. 4 (2010), 656.</w:t>
      </w:r>
      <w:bookmarkEnd w:id="129"/>
    </w:p>
  </w:footnote>
  <w:footnote w:id="232">
    <w:p w14:paraId="24F5398A" w14:textId="18EAA94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“Interview de M. Nicolas Sarkozy, ministre de l'intérieur et de l'aménagement du territoire, président de l'UMP et candidat à l'élection présidentielle 2007, à France 2, le 8 mars 2007, sur la campagne électorale, ses adversaires politiques et sur les grandes lignes de son programme électoral,” Collection des discours publics, Vie Publique, [Erişim: 15.09.2021], https://www.vie-publique.fr/discours/165810-interview-de-m-nicolas-sarkozy-ministre-de-linterieur-et-de-lamenage. “</w:t>
      </w:r>
      <w:r w:rsidRPr="00E97E0B">
        <w:rPr>
          <w:rFonts w:ascii="Times" w:hAnsi="Times"/>
          <w:i/>
          <w:iCs/>
        </w:rPr>
        <w:t>…je veux un ministère de l'immigration nationale et de l'identité nationale, parce qu'aujourd'hui le dossier de l'immigration est explosé en trois ministères différents. Une équipe soudée, avec des personnalités qui viendraient d'autres formations politiques que la formation politique majoritaire...  - C'est l'ouverture, ça? Je crois que quand on gagne on doit dominer son succès en ouvrant aux autres. Parce qu'il faut se priver d'aucun talent pour faire l'équipe de France A…</w:t>
      </w:r>
      <w:r w:rsidRPr="00E97E0B">
        <w:rPr>
          <w:rFonts w:ascii="Times" w:hAnsi="Times"/>
        </w:rPr>
        <w:t xml:space="preserve">” (Çeviri araştırmacı tarafından yapılmıştır). </w:t>
      </w:r>
    </w:p>
  </w:footnote>
  <w:footnote w:id="233">
    <w:p w14:paraId="6EAD2C43" w14:textId="74D73E8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bookmarkStart w:id="131" w:name="_Hlk119271752"/>
      <w:r w:rsidR="00527F0C" w:rsidRPr="00E97E0B">
        <w:rPr>
          <w:rFonts w:ascii="Times" w:hAnsi="Times"/>
        </w:rPr>
        <w:t xml:space="preserve"> “</w:t>
      </w:r>
      <w:r w:rsidRPr="00E97E0B">
        <w:rPr>
          <w:rFonts w:ascii="Times" w:hAnsi="Times"/>
        </w:rPr>
        <w:t>Nicolas Sarkozy et l’immigration: changement de ton</w:t>
      </w:r>
      <w:r w:rsidR="00527F0C" w:rsidRPr="00E97E0B">
        <w:rPr>
          <w:rFonts w:ascii="Times" w:hAnsi="Times"/>
        </w:rPr>
        <w:t>,”</w:t>
      </w:r>
      <w:r w:rsidRPr="00E97E0B">
        <w:rPr>
          <w:rFonts w:ascii="Times" w:hAnsi="Times"/>
        </w:rPr>
        <w:t xml:space="preserve"> Dailymotion, https://www.dailymotion.com/video/xeebsm [Erişim: 10.09.2021] </w:t>
      </w:r>
      <w:bookmarkEnd w:id="131"/>
      <w:r w:rsidRPr="00E97E0B">
        <w:rPr>
          <w:rFonts w:ascii="Times" w:hAnsi="Times"/>
          <w:i/>
          <w:iCs/>
        </w:rPr>
        <w:t>“…L’immigration j’ose le mot est une chance pour notre pays. Je veux donc rétablir un discours positif sur l’immigration, c’est à la fois ma conviction profonde et la condition de l’intégration…”</w:t>
      </w:r>
      <w:r w:rsidRPr="00E97E0B">
        <w:rPr>
          <w:rFonts w:ascii="Times" w:hAnsi="Times"/>
        </w:rPr>
        <w:t>(Çeviri araştırmacı tarafından yapılmıştır).</w:t>
      </w:r>
    </w:p>
  </w:footnote>
  <w:footnote w:id="234">
    <w:p w14:paraId="0487EAF9" w14:textId="3C04D89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32" w:name="_Hlk119271590"/>
      <w:r w:rsidRPr="00E97E0B">
        <w:rPr>
          <w:rFonts w:ascii="Times" w:hAnsi="Times"/>
        </w:rPr>
        <w:t xml:space="preserve">Mouna Viprey, “Immigration choisie, immigration subie: du discours à la réalité,” </w:t>
      </w:r>
      <w:r w:rsidRPr="00E97E0B">
        <w:rPr>
          <w:rFonts w:ascii="Times" w:hAnsi="Times"/>
          <w:i/>
          <w:iCs/>
        </w:rPr>
        <w:t>La Revue de l’Ires</w:t>
      </w:r>
      <w:r w:rsidRPr="00E97E0B">
        <w:rPr>
          <w:rFonts w:ascii="Times" w:hAnsi="Times"/>
        </w:rPr>
        <w:t>, c. 1, s. 64, (2010), 150, 151.</w:t>
      </w:r>
      <w:bookmarkEnd w:id="132"/>
    </w:p>
  </w:footnote>
  <w:footnote w:id="235">
    <w:p w14:paraId="6D4E03D5" w14:textId="39435E0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33" w:name="_Hlk119271661"/>
      <w:r w:rsidRPr="00E97E0B">
        <w:rPr>
          <w:rFonts w:ascii="Times" w:hAnsi="Times"/>
        </w:rPr>
        <w:t xml:space="preserve">“11.12.2006-Conférence de presse sur l'immigration,” interieur.gouv.fr, [Erişim: 10.01.2022]. </w:t>
      </w:r>
      <w:r w:rsidRPr="00E97E0B">
        <w:rPr>
          <w:rStyle w:val="Kpr1"/>
          <w:rFonts w:ascii="Times" w:hAnsi="Times"/>
          <w:color w:val="000000" w:themeColor="text1"/>
          <w:u w:val="none"/>
        </w:rPr>
        <w:t>https://mobile.interieur.gouv.fr/Archives/Archives-ministres-de-l-Interieur/Archives-de-Nicolas-Sarkozy-2005-2007/Interventions/11.12.2006-Conference-de-presse-sur-l-immigration</w:t>
      </w:r>
      <w:r w:rsidRPr="00E97E0B">
        <w:rPr>
          <w:rFonts w:ascii="Times" w:hAnsi="Times"/>
          <w:color w:val="000000" w:themeColor="text1"/>
        </w:rPr>
        <w:t xml:space="preserve"> </w:t>
      </w:r>
      <w:bookmarkEnd w:id="133"/>
      <w:r w:rsidRPr="00E97E0B">
        <w:rPr>
          <w:rFonts w:ascii="Times" w:hAnsi="Times"/>
          <w:i/>
          <w:iCs/>
        </w:rPr>
        <w:t>“…Une femme européenne a, en moyenne, 1,5 enfant. Une femme africaine en a 5,2. C'est un potentiel migratoire considérable! L'un des grands enjeux des années à venir est de redonner à la jeunesse d'Afrique confiance en elle-même et lui faire comprendre qu'il existe un avenir en dehors de l'émigration…”(</w:t>
      </w:r>
      <w:r w:rsidRPr="00E97E0B">
        <w:rPr>
          <w:rFonts w:ascii="Times" w:hAnsi="Times"/>
        </w:rPr>
        <w:t>Çeviri araştırmacı tarafından yapılmıştır).</w:t>
      </w:r>
    </w:p>
  </w:footnote>
  <w:footnote w:id="236">
    <w:p w14:paraId="64F5F71E" w14:textId="7666CB8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34" w:name="_Hlk119271654"/>
      <w:r w:rsidRPr="00E97E0B">
        <w:rPr>
          <w:rFonts w:ascii="Times" w:hAnsi="Times"/>
        </w:rPr>
        <w:t xml:space="preserve">“Déclaration de M. Nicolas Sarkozy, Président de la République, sur la lutte contre la criminalité, la délinquance et l'immigration illégale, à Grenoble le 30 juillet 2010,” Vie Publique, [Erişim 19.03.2022]. </w:t>
      </w:r>
      <w:r w:rsidRPr="00E97E0B">
        <w:rPr>
          <w:rStyle w:val="Kpr1"/>
          <w:rFonts w:ascii="Times" w:hAnsi="Times"/>
          <w:color w:val="000000" w:themeColor="text1"/>
          <w:u w:val="none"/>
        </w:rPr>
        <w:t>https://www.vie-publique.fr/discours/179722-nicolas-sarkozy-30072010-criminalite-delinquance-immigration-illegale.</w:t>
      </w:r>
      <w:r w:rsidRPr="00E97E0B">
        <w:rPr>
          <w:rFonts w:ascii="Times" w:hAnsi="Times"/>
          <w:color w:val="000000" w:themeColor="text1"/>
        </w:rPr>
        <w:t xml:space="preserve"> </w:t>
      </w:r>
      <w:bookmarkEnd w:id="134"/>
    </w:p>
    <w:p w14:paraId="4B1613BD" w14:textId="77777777" w:rsidR="003C2413" w:rsidRPr="00E97E0B" w:rsidRDefault="003C2413" w:rsidP="002858AE">
      <w:pPr>
        <w:pStyle w:val="DipnotMetni1"/>
        <w:spacing w:before="0" w:after="0" w:line="240" w:lineRule="auto"/>
        <w:rPr>
          <w:rFonts w:ascii="Times" w:hAnsi="Times"/>
        </w:rPr>
      </w:pPr>
      <w:r w:rsidRPr="00E97E0B">
        <w:rPr>
          <w:rFonts w:ascii="Times" w:hAnsi="Times"/>
          <w:i/>
          <w:iCs/>
        </w:rPr>
        <w:t xml:space="preserve">“…De même nous allons réévaluer les motifs pouvant donner lieu à la déchéance de la nationalité française. Je prends mes responsabilités. La nationalité française doit pouvoir être retirée à toute personne d'origine étrangère qui aurait volontairement porté atteinte à la vie d'un fonctionnaire de police ou d'un militaire de la gendarmerie ou de toute autre personne dépositaire de l'autorité publique. La nationalité française se mérite et il faut pouvoir s'en montrer digne. Quand on tire sur un agent chargé des forces de l'ordre on n'est plus digne d'être français. Je souhaite également que l'acquisition de la nationalité française par un mineur délinquant au moment de sa majorité ne soit plus automatique… …J'ai demandé à Michèle Alliot-Marie de préparer une réforme profonde du droit pénal applicable aux mineurs et je souhaite que nous examinions sans tabou toutes les pistes envisageables. Je n'ai pas la vérité. Mais convenons que l'ordonnance de 1945 n'est plus adaptée aux mineurs d'aujourd'hui. Ou est-ce que l'on doit considérer que ce texte, qui a plus de 60 ans, ne peut pas être touché, ne peut pas évoluer. Là aussi, ce n'est pas une question partisane, une question de réflexion. La délinquance actuelle ne provient pas d'un mal être comme je l'entends dire trop souvent : elle résulte d'un mépris pour les valeurs fondamentales de notre société…”  </w:t>
      </w:r>
      <w:r w:rsidRPr="00E97E0B">
        <w:rPr>
          <w:rFonts w:ascii="Times" w:hAnsi="Times"/>
        </w:rPr>
        <w:t>(Çeviri araştırmacı tarafından yapılmıştır).</w:t>
      </w:r>
    </w:p>
  </w:footnote>
  <w:footnote w:id="237">
    <w:p w14:paraId="29000B55" w14:textId="67DBC2D5"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“L'UMP recule sur la déchéance de nationalité,” Le Monde, 8.03.2011, [Erişim 19.03.2022], https://www.lemonde.fr/politique/article/2011/03/08/l-ump-recule-sur-la-decheance-de-nationalite_1490163_823448.html.</w:t>
      </w:r>
    </w:p>
  </w:footnote>
  <w:footnote w:id="238">
    <w:p w14:paraId="01BF9546" w14:textId="03CBBA0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“Annulation, retrait ou déchéance de nationalité française,” Service-Publique.fr Le site officiel de l’Administration Française, [Erişim 23.02.2022], https://www.service-public.fr/particuliers/vosdroits/F32827, </w:t>
      </w:r>
    </w:p>
  </w:footnote>
  <w:footnote w:id="239">
    <w:p w14:paraId="2DCE464B" w14:textId="3132290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Pr="00E97E0B">
        <w:rPr>
          <w:rFonts w:ascii="Times" w:hAnsi="Times" w:cs="ÍÃÏâ˛"/>
        </w:rPr>
        <w:t xml:space="preserve">Laurent Mucchielli, “Délinquance et immigration en France: un regard sociologique,” </w:t>
      </w:r>
      <w:r w:rsidRPr="00E97E0B">
        <w:rPr>
          <w:rFonts w:ascii="Times" w:hAnsi="Times" w:cs="ÍÃÏâ˛"/>
          <w:i/>
          <w:iCs/>
        </w:rPr>
        <w:t>Criminologie</w:t>
      </w:r>
      <w:r w:rsidRPr="00E97E0B">
        <w:rPr>
          <w:rFonts w:ascii="Times" w:hAnsi="Times" w:cs="ÍÃÏâ˛"/>
        </w:rPr>
        <w:t>, c.  36, s. 2, (2003), 44, 45, 46.</w:t>
      </w:r>
    </w:p>
  </w:footnote>
  <w:footnote w:id="240">
    <w:p w14:paraId="5D6B7700" w14:textId="13D70B2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“L'essentiel sur... les immigrés et les étrangers,” INSEE</w:t>
      </w:r>
      <w:r w:rsidRPr="00E97E0B">
        <w:rPr>
          <w:rFonts w:ascii="Times" w:hAnsi="Times"/>
          <w:color w:val="000000" w:themeColor="text1"/>
        </w:rPr>
        <w:t xml:space="preserve">, </w:t>
      </w:r>
      <w:r w:rsidRPr="00E97E0B">
        <w:rPr>
          <w:rFonts w:ascii="Times" w:hAnsi="Times"/>
        </w:rPr>
        <w:t>[Erişim: 01.03.2022],</w:t>
      </w:r>
      <w:r w:rsidRPr="00E97E0B">
        <w:rPr>
          <w:rFonts w:ascii="Times" w:hAnsi="Times"/>
          <w:color w:val="000000" w:themeColor="text1"/>
        </w:rPr>
        <w:t xml:space="preserve"> </w:t>
      </w:r>
      <w:r w:rsidRPr="00E97E0B">
        <w:rPr>
          <w:rStyle w:val="Kpr1"/>
          <w:rFonts w:ascii="Times" w:hAnsi="Times"/>
          <w:color w:val="000000" w:themeColor="text1"/>
          <w:u w:val="none"/>
        </w:rPr>
        <w:t>https://www.insee.fr/fr/statistiques/3633212.</w:t>
      </w:r>
      <w:r w:rsidRPr="00E97E0B">
        <w:rPr>
          <w:rFonts w:ascii="Times" w:hAnsi="Times"/>
          <w:color w:val="000000" w:themeColor="text1"/>
        </w:rPr>
        <w:t xml:space="preserve"> </w:t>
      </w:r>
    </w:p>
  </w:footnote>
  <w:footnote w:id="241">
    <w:p w14:paraId="7EC11DFA" w14:textId="687B42C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Yabancıların İkamet ve Girişi ve İltica Hakkı’na dair yasanın (CESEDA) L-315-1 maddesi için bkz. “Chapitre V: La carte de séjour portant la mention "compétences et talents" (Articles L315-1 à L315-9),” Code de l'entrée et du séjour des étrangers et du droit d'asile: Version en vigueur du 21 novembre 2007 au 01 novembre 2016, [Erişim: 01.03.2022], Légifrance, </w:t>
      </w:r>
      <w:r w:rsidRPr="00E97E0B">
        <w:rPr>
          <w:rStyle w:val="Kpr1"/>
          <w:rFonts w:ascii="Times" w:hAnsi="Times"/>
          <w:color w:val="000000" w:themeColor="text1"/>
          <w:u w:val="none"/>
        </w:rPr>
        <w:t>https://www.legifrance.gouv.fr/codes/article_lc/LEGIARTI000006335119/2007-11-21</w:t>
      </w:r>
      <w:r w:rsidRPr="00E97E0B">
        <w:rPr>
          <w:rFonts w:ascii="Times" w:hAnsi="Times"/>
        </w:rPr>
        <w:t>.</w:t>
      </w:r>
    </w:p>
  </w:footnote>
  <w:footnote w:id="242">
    <w:p w14:paraId="51A7FE00" w14:textId="5F3EF5D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35" w:name="_Hlk119271936"/>
      <w:r w:rsidRPr="00E97E0B">
        <w:rPr>
          <w:rFonts w:ascii="Times" w:hAnsi="Times"/>
        </w:rPr>
        <w:t xml:space="preserve">Patrick Weil, “Lettre ouverte à Nicolas Sarkozy sur sa politique d’immigration,” </w:t>
      </w:r>
      <w:r w:rsidRPr="00E97E0B">
        <w:rPr>
          <w:rFonts w:ascii="Times" w:hAnsi="Times"/>
          <w:i/>
          <w:iCs/>
        </w:rPr>
        <w:t>Editions Esprit</w:t>
      </w:r>
      <w:r w:rsidRPr="00E97E0B">
        <w:rPr>
          <w:rFonts w:ascii="Times" w:hAnsi="Times"/>
        </w:rPr>
        <w:t>, c. 5 s. 324, 80, 81.</w:t>
      </w:r>
      <w:bookmarkEnd w:id="135"/>
    </w:p>
  </w:footnote>
  <w:footnote w:id="243">
    <w:p w14:paraId="34C81B58" w14:textId="60624F5E"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37" w:name="_Hlk119272010"/>
      <w:r w:rsidRPr="00E97E0B">
        <w:rPr>
          <w:rFonts w:ascii="Times" w:hAnsi="Times"/>
        </w:rPr>
        <w:t xml:space="preserve">Smain Laacher, “L’Islam des nouveaux Musulmans en terre d’immigration,” </w:t>
      </w:r>
      <w:r w:rsidRPr="00E97E0B">
        <w:rPr>
          <w:rFonts w:ascii="Times" w:hAnsi="Times"/>
          <w:i/>
          <w:iCs/>
        </w:rPr>
        <w:t>Mouvements</w:t>
      </w:r>
      <w:r w:rsidRPr="00E97E0B">
        <w:rPr>
          <w:rFonts w:ascii="Times" w:hAnsi="Times"/>
        </w:rPr>
        <w:t xml:space="preserve">, </w:t>
      </w:r>
      <w:r w:rsidRPr="00E97E0B">
        <w:rPr>
          <w:rFonts w:ascii="Times" w:hAnsi="Times"/>
          <w:i/>
          <w:iCs/>
        </w:rPr>
        <w:t>La Découverte</w:t>
      </w:r>
      <w:r w:rsidRPr="00E97E0B">
        <w:rPr>
          <w:rFonts w:ascii="Times" w:hAnsi="Times"/>
        </w:rPr>
        <w:t xml:space="preserve">, c. 2, </w:t>
      </w:r>
      <w:r w:rsidR="00527F0C" w:rsidRPr="00E97E0B">
        <w:rPr>
          <w:rFonts w:ascii="Times" w:hAnsi="Times"/>
        </w:rPr>
        <w:t>s</w:t>
      </w:r>
      <w:r w:rsidRPr="00E97E0B">
        <w:rPr>
          <w:rFonts w:ascii="Times" w:hAnsi="Times"/>
        </w:rPr>
        <w:t>. 38, (2005), 51, 52</w:t>
      </w:r>
      <w:r w:rsidR="005C624F" w:rsidRPr="00E97E0B">
        <w:rPr>
          <w:rFonts w:ascii="Times" w:hAnsi="Times"/>
        </w:rPr>
        <w:t>,</w:t>
      </w:r>
      <w:r w:rsidRPr="00E97E0B">
        <w:rPr>
          <w:rFonts w:ascii="Times" w:hAnsi="Times"/>
        </w:rPr>
        <w:t xml:space="preserve"> </w:t>
      </w:r>
      <w:bookmarkStart w:id="138" w:name="_Hlk119272287"/>
      <w:r w:rsidRPr="00E97E0B">
        <w:rPr>
          <w:rStyle w:val="Kpr1"/>
          <w:rFonts w:ascii="Times" w:hAnsi="Times"/>
          <w:color w:val="000000" w:themeColor="text1"/>
          <w:u w:val="none"/>
        </w:rPr>
        <w:t>https://doi.org/10.3917/mouv.038.0050.50</w:t>
      </w:r>
      <w:bookmarkEnd w:id="138"/>
      <w:r w:rsidRPr="00E97E0B">
        <w:rPr>
          <w:rFonts w:ascii="Times" w:hAnsi="Times"/>
          <w:color w:val="000000" w:themeColor="text1"/>
        </w:rPr>
        <w:t xml:space="preserve"> </w:t>
      </w:r>
      <w:bookmarkEnd w:id="137"/>
    </w:p>
  </w:footnote>
  <w:footnote w:id="244">
    <w:p w14:paraId="7BCDD489" w14:textId="102704D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39" w:name="_Hlk119272444"/>
      <w:r w:rsidRPr="00E97E0B">
        <w:rPr>
          <w:rFonts w:ascii="Times" w:hAnsi="Times"/>
        </w:rPr>
        <w:t xml:space="preserve">Laurent Bouvet, </w:t>
      </w:r>
      <w:r w:rsidR="00527F0C" w:rsidRPr="00E97E0B">
        <w:rPr>
          <w:rFonts w:ascii="Times" w:hAnsi="Times"/>
        </w:rPr>
        <w:t>“</w:t>
      </w:r>
      <w:r w:rsidRPr="00E97E0B">
        <w:rPr>
          <w:rFonts w:ascii="Times" w:hAnsi="Times"/>
        </w:rPr>
        <w:t>Multiculturalisme: les trois erreurs de Sarkozy,</w:t>
      </w:r>
      <w:r w:rsidR="00527F0C" w:rsidRPr="00E97E0B">
        <w:rPr>
          <w:rFonts w:ascii="Times" w:hAnsi="Times"/>
        </w:rPr>
        <w:t>”</w:t>
      </w:r>
      <w:r w:rsidRPr="00E97E0B">
        <w:rPr>
          <w:rFonts w:ascii="Times" w:hAnsi="Times"/>
        </w:rPr>
        <w:t xml:space="preserve"> </w:t>
      </w:r>
      <w:r w:rsidRPr="00E97E0B">
        <w:rPr>
          <w:rFonts w:ascii="Times" w:hAnsi="Times"/>
          <w:i/>
          <w:iCs/>
        </w:rPr>
        <w:t>Telos</w:t>
      </w:r>
      <w:r w:rsidRPr="00E97E0B">
        <w:rPr>
          <w:rFonts w:ascii="Times" w:hAnsi="Times"/>
        </w:rPr>
        <w:t xml:space="preserve">, [Erişim: 21.02.2022], </w:t>
      </w:r>
      <w:r w:rsidRPr="00E97E0B">
        <w:rPr>
          <w:rStyle w:val="Kpr1"/>
          <w:rFonts w:ascii="Times" w:hAnsi="Times"/>
          <w:color w:val="000000" w:themeColor="text1"/>
          <w:u w:val="none"/>
        </w:rPr>
        <w:t>https://www.telos-eu.com/fr/societe/culture/multiculturalisme-les-trois-erreurs-de-sarkozy.html</w:t>
      </w:r>
      <w:r w:rsidRPr="00E97E0B">
        <w:rPr>
          <w:rFonts w:ascii="Times" w:hAnsi="Times"/>
          <w:color w:val="000000" w:themeColor="text1"/>
        </w:rPr>
        <w:t xml:space="preserve"> </w:t>
      </w:r>
      <w:bookmarkEnd w:id="139"/>
    </w:p>
  </w:footnote>
  <w:footnote w:id="245">
    <w:p w14:paraId="225F763F" w14:textId="1DF2C1D7" w:rsidR="003C2413" w:rsidRPr="00E97E0B" w:rsidRDefault="003C2413" w:rsidP="002858AE">
      <w:pPr>
        <w:pStyle w:val="DipnotMetni1"/>
        <w:spacing w:before="0" w:after="0" w:line="240" w:lineRule="auto"/>
      </w:pPr>
      <w:r w:rsidRPr="00E97E0B">
        <w:rPr>
          <w:rStyle w:val="FootnoteReference"/>
        </w:rPr>
        <w:footnoteRef/>
      </w:r>
      <w:r w:rsidRPr="00E97E0B">
        <w:t xml:space="preserve"> “Bilan démographique 2012 La population croît, mais plus modérément,” Statistiques et Etudes, INSEE, [Erişim 10.08.2022], https://www.insee.fr/fr/statistiques/1281416 </w:t>
      </w:r>
    </w:p>
  </w:footnote>
  <w:footnote w:id="246">
    <w:p w14:paraId="434806B5" w14:textId="5C57572F" w:rsidR="003C2413" w:rsidRPr="00E97E0B" w:rsidRDefault="003C2413" w:rsidP="002858AE">
      <w:pPr>
        <w:pStyle w:val="DipnotMetni1"/>
        <w:spacing w:before="0" w:after="0" w:line="240" w:lineRule="auto"/>
      </w:pPr>
      <w:r w:rsidRPr="00E97E0B">
        <w:rPr>
          <w:rStyle w:val="FootnoteReference"/>
        </w:rPr>
        <w:footnoteRef/>
      </w:r>
      <w:r w:rsidRPr="00E97E0B">
        <w:t xml:space="preserve"> “Populations française, étrangère et immigrée en France depuis 2006,” Statistiques et Etudes, INSEE, [Erişim 10.08.2022], https://www.insee.fr/fr/statistiques/1410693 </w:t>
      </w:r>
    </w:p>
  </w:footnote>
  <w:footnote w:id="247">
    <w:p w14:paraId="3D3633F5" w14:textId="5E81C393" w:rsidR="003C2413" w:rsidRPr="00E97E0B" w:rsidRDefault="003C2413" w:rsidP="002858AE">
      <w:pPr>
        <w:pStyle w:val="DipnotMetni1"/>
        <w:spacing w:before="0" w:after="0" w:line="240" w:lineRule="auto"/>
      </w:pPr>
      <w:r w:rsidRPr="00E97E0B">
        <w:rPr>
          <w:rStyle w:val="FootnoteReference"/>
        </w:rPr>
        <w:footnoteRef/>
      </w:r>
      <w:r w:rsidRPr="00E97E0B">
        <w:t xml:space="preserve"> “Bilan démographique 2022: L’espérance de vie stagne en 2022 et reste inférieure à celle de 2019,” Statistiques et Etudes, INSEE [Erişim 10.08.2022], https://www.insee.fr/fr/statistiques/6687000 </w:t>
      </w:r>
    </w:p>
  </w:footnote>
  <w:footnote w:id="248">
    <w:p w14:paraId="63740E8D" w14:textId="53190B3B" w:rsidR="003C2413" w:rsidRPr="00E97E0B" w:rsidRDefault="003C2413" w:rsidP="002858AE">
      <w:pPr>
        <w:pStyle w:val="DipnotMetni1"/>
        <w:spacing w:before="0" w:after="0" w:line="240" w:lineRule="auto"/>
      </w:pPr>
      <w:r w:rsidRPr="00E97E0B">
        <w:rPr>
          <w:rStyle w:val="FootnoteReference"/>
        </w:rPr>
        <w:footnoteRef/>
      </w:r>
      <w:r w:rsidRPr="00E97E0B">
        <w:t xml:space="preserve"> “Les étrangers en France, “Année 2013 Onzième rapport établi en application de l'article L.111-10 du Code de l'entrée et du séjour des étrangers et du droit d'asile,”” Rapport au Parlement sur les données de l’année 2013, Direction de l’information légale et administrative, (Paris, 2014), 81.</w:t>
      </w:r>
    </w:p>
  </w:footnote>
  <w:footnote w:id="249">
    <w:p w14:paraId="765F1B2D" w14:textId="63FEE8A2"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83.</w:t>
      </w:r>
    </w:p>
  </w:footnote>
  <w:footnote w:id="250">
    <w:p w14:paraId="39A27307" w14:textId="2B4FCA88" w:rsidR="003C2413" w:rsidRPr="00E97E0B" w:rsidRDefault="003C2413" w:rsidP="002858AE">
      <w:pPr>
        <w:pStyle w:val="DipnotMetni1"/>
        <w:spacing w:before="0" w:after="0" w:line="240" w:lineRule="auto"/>
      </w:pPr>
      <w:r w:rsidRPr="00E97E0B">
        <w:rPr>
          <w:rStyle w:val="FootnoteReference"/>
        </w:rPr>
        <w:footnoteRef/>
      </w:r>
      <w:r w:rsidRPr="00E97E0B">
        <w:t xml:space="preserve"> Dittgen, Alfred. “Religions et démographie en France. Des évolutions contrastées,”</w:t>
      </w:r>
      <w:r w:rsidR="00527F0C" w:rsidRPr="00E97E0B">
        <w:t xml:space="preserve"> Population &amp; Avenir, c. 684, s</w:t>
      </w:r>
      <w:r w:rsidRPr="00E97E0B">
        <w:t>. 4, (Paris, 2007), 18.</w:t>
      </w:r>
    </w:p>
  </w:footnote>
  <w:footnote w:id="251">
    <w:p w14:paraId="282399C1" w14:textId="68328B0E" w:rsidR="003C2413" w:rsidRPr="00E97E0B" w:rsidRDefault="003C2413" w:rsidP="002858AE">
      <w:pPr>
        <w:pStyle w:val="DipnotMetni1"/>
        <w:spacing w:before="0" w:after="0" w:line="240" w:lineRule="auto"/>
      </w:pPr>
      <w:r w:rsidRPr="00E97E0B">
        <w:rPr>
          <w:rStyle w:val="FootnoteReference"/>
        </w:rPr>
        <w:footnoteRef/>
      </w:r>
      <w:r w:rsidRPr="00E97E0B">
        <w:t xml:space="preserve"> “Répartition de la population selon la religion en France en 2020,” Statista, [Erişim 10.08.2022], https://fr.statista.com/statistiques/472017/population-religion-france/ </w:t>
      </w:r>
    </w:p>
  </w:footnote>
  <w:footnote w:id="252">
    <w:p w14:paraId="78CE3C27" w14:textId="2D59D39F" w:rsidR="003C2413" w:rsidRPr="00E97E0B" w:rsidRDefault="003C2413" w:rsidP="0093786A">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Smain Laacher, “L’Islam des nouveaux Musulmans en terre d’immigration,” 51, 52</w:t>
      </w:r>
    </w:p>
  </w:footnote>
  <w:footnote w:id="253">
    <w:p w14:paraId="1AE6A978" w14:textId="0D161BD0" w:rsidR="003C2413" w:rsidRPr="00E97E0B" w:rsidRDefault="003C2413" w:rsidP="0093786A">
      <w:pPr>
        <w:pStyle w:val="DipnotMetni1"/>
        <w:spacing w:before="0" w:after="0" w:line="240" w:lineRule="auto"/>
        <w:rPr>
          <w:rFonts w:ascii="Times" w:hAnsi="Times"/>
        </w:rPr>
      </w:pPr>
      <w:r w:rsidRPr="00E97E0B">
        <w:rPr>
          <w:rStyle w:val="FootnoteReference"/>
          <w:rFonts w:ascii="Times" w:hAnsi="Times"/>
        </w:rPr>
        <w:footnoteRef/>
      </w:r>
      <w:bookmarkStart w:id="140" w:name="_Hlk119272452"/>
      <w:r w:rsidRPr="00E97E0B">
        <w:rPr>
          <w:rFonts w:ascii="Times" w:hAnsi="Times"/>
        </w:rPr>
        <w:t xml:space="preserve"> INSEE, </w:t>
      </w:r>
      <w:bookmarkEnd w:id="140"/>
      <w:r w:rsidRPr="00E97E0B">
        <w:rPr>
          <w:rFonts w:ascii="Times" w:hAnsi="Times"/>
        </w:rPr>
        <w:t>“L'essentiel sur... les immigrés et les étrangers.”</w:t>
      </w:r>
    </w:p>
  </w:footnote>
  <w:footnote w:id="254">
    <w:p w14:paraId="1E001977" w14:textId="535F88C5" w:rsidR="003C2413" w:rsidRPr="00E97E0B" w:rsidRDefault="003C2413" w:rsidP="0093786A">
      <w:pPr>
        <w:pStyle w:val="DipnotMetni1"/>
        <w:spacing w:before="0" w:after="0" w:line="240" w:lineRule="auto"/>
      </w:pPr>
      <w:r w:rsidRPr="00E97E0B">
        <w:rPr>
          <w:rStyle w:val="FootnoteReference"/>
        </w:rPr>
        <w:footnoteRef/>
      </w:r>
      <w:r w:rsidRPr="00E97E0B">
        <w:t xml:space="preserve"> “La religion a-t-elle une influence sur le choix du futur président?” Présidentielle française, France 24, 14.03.2012, https://www.france24.com/fr/20120314-dis-moi-religion-je-te-dirai-tu-votes-catholique-juif-musulman-UMP-PS-election-presidentielle [Erişim 20.08.2022]</w:t>
      </w:r>
    </w:p>
  </w:footnote>
  <w:footnote w:id="255">
    <w:p w14:paraId="04DDBEE7" w14:textId="72D442A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41" w:name="_Hlk119272510"/>
      <w:r w:rsidRPr="00E97E0B">
        <w:rPr>
          <w:rFonts w:ascii="Times" w:hAnsi="Times"/>
        </w:rPr>
        <w:t xml:space="preserve">“Cinq ans de signaux envoyés au Front national,” Franceinfo, 6.02.2007, [Erişim: 07.02.2022], https://www.francetvinfo.fr/societe/vote-des-etrangers/cinq-ans-de-signaux-envoyes-au-front-national_263301.html </w:t>
      </w:r>
      <w:bookmarkEnd w:id="141"/>
      <w:r w:rsidRPr="00E97E0B">
        <w:rPr>
          <w:rFonts w:ascii="Times" w:hAnsi="Times"/>
          <w:i/>
          <w:iCs/>
        </w:rPr>
        <w:t>“Quand on habite en France, on respecte ses règles: on n'est pas polygame, on ne pratique pas l'excision sur ses filles, on n'égorge pas le mouton dans son appartement et respecte les règles républicaines.”</w:t>
      </w:r>
      <w:r w:rsidRPr="00E97E0B">
        <w:rPr>
          <w:rFonts w:ascii="Times" w:hAnsi="Times"/>
        </w:rPr>
        <w:t xml:space="preserve"> </w:t>
      </w:r>
    </w:p>
  </w:footnote>
  <w:footnote w:id="256">
    <w:p w14:paraId="49F16122" w14:textId="46442E2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“Nicolas Sarkozy “Vous en avez assez de cette bande de racaillles, on va vous en débarrasser,”” INA, 26.10.2005, [Erişim: 07.02.2022]” </w:t>
      </w:r>
      <w:bookmarkStart w:id="142" w:name="_Hlk119272577"/>
      <w:r w:rsidRPr="00E97E0B">
        <w:rPr>
          <w:rFonts w:ascii="Times" w:hAnsi="Times"/>
        </w:rPr>
        <w:t>https://www.ina.fr/ina-eclaire-actu/video/i09166721/nicolas-sarkozy-vous-en-avez-assez-de-cette-bande-de-racaillles-on-va-vous</w:t>
      </w:r>
      <w:r w:rsidR="00527F0C" w:rsidRPr="00E97E0B">
        <w:rPr>
          <w:rFonts w:ascii="Times" w:hAnsi="Times"/>
        </w:rPr>
        <w:t xml:space="preserve"> </w:t>
      </w:r>
      <w:r w:rsidR="00527F0C" w:rsidRPr="00E97E0B">
        <w:rPr>
          <w:rFonts w:ascii="Times" w:hAnsi="Times"/>
          <w:i/>
        </w:rPr>
        <w:t>“</w:t>
      </w:r>
      <w:r w:rsidRPr="00E97E0B">
        <w:rPr>
          <w:rFonts w:ascii="Times" w:hAnsi="Times"/>
          <w:i/>
        </w:rPr>
        <w:t>Vous en avez marre de cette bande de racaille hein? Je vais vous en débarrasser!</w:t>
      </w:r>
      <w:r w:rsidR="00527F0C" w:rsidRPr="00E97E0B">
        <w:rPr>
          <w:rFonts w:ascii="Times" w:hAnsi="Times"/>
          <w:i/>
        </w:rPr>
        <w:t>”</w:t>
      </w:r>
      <w:r w:rsidRPr="00E97E0B">
        <w:rPr>
          <w:rFonts w:ascii="Times" w:hAnsi="Times"/>
          <w:i/>
        </w:rPr>
        <w:t xml:space="preserve"> </w:t>
      </w:r>
      <w:bookmarkEnd w:id="142"/>
    </w:p>
  </w:footnote>
  <w:footnote w:id="257">
    <w:p w14:paraId="4C283E8D" w14:textId="224B157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43" w:name="_Hlk119272584"/>
      <w:r w:rsidRPr="00E97E0B">
        <w:rPr>
          <w:rFonts w:ascii="Times" w:hAnsi="Times"/>
        </w:rPr>
        <w:t xml:space="preserve">“Le terrorisme et les émeutes n'ont "rien à voir avec l'islam,” selon Nicolas Sarkozy,” Le Monde, [Erişim: 07.02.2022], https://www.lemonde.fr/societe/article/2005/12/18/le-terrorisme-et-les-emeutes-n-ont-rien-a-voir-avec-l-islam-selon-nicolas-sarkozy_722730_3224.html </w:t>
      </w:r>
      <w:bookmarkEnd w:id="143"/>
    </w:p>
  </w:footnote>
  <w:footnote w:id="258">
    <w:p w14:paraId="3EF481F6" w14:textId="04317B9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Özne olarak </w:t>
      </w:r>
      <w:r w:rsidRPr="00E97E0B">
        <w:rPr>
          <w:rFonts w:ascii="Times" w:hAnsi="Times"/>
          <w:i/>
          <w:iCs/>
        </w:rPr>
        <w:t>on</w:t>
      </w:r>
      <w:r w:rsidRPr="00E97E0B">
        <w:rPr>
          <w:rFonts w:ascii="Times" w:hAnsi="Times"/>
        </w:rPr>
        <w:t xml:space="preserve"> kullanılmıştır. Bu ifade Türkçe’de tam karşılığı olmayan ancak çevirirken edilgen halde çevirmenin mümkün olduğu öznenin gizlendiği bir formdur.</w:t>
      </w:r>
    </w:p>
  </w:footnote>
  <w:footnote w:id="259">
    <w:p w14:paraId="452A92EF" w14:textId="374DB7B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“Déclaration de M. Nicolas Sarkozy, Président de la République, sur la place de l'islam en France, à Paris, le 1er Octobre 2007,” Collection des discours publics, Vie Publique, [Erişim: 07.02.2022], https://www.vie-publique.fr/discours/167925-declaration-de-m-nicolas-sarkozy-president-de-la-republique-sur-la-pl  </w:t>
      </w:r>
    </w:p>
    <w:p w14:paraId="0D53A921" w14:textId="38E36080" w:rsidR="003C2413" w:rsidRPr="00E97E0B" w:rsidRDefault="003C2413" w:rsidP="002858AE">
      <w:pPr>
        <w:pStyle w:val="DipnotMetni1"/>
        <w:spacing w:before="0" w:after="0" w:line="240" w:lineRule="auto"/>
        <w:rPr>
          <w:rFonts w:ascii="Times" w:hAnsi="Times"/>
        </w:rPr>
      </w:pPr>
      <w:r w:rsidRPr="00E97E0B">
        <w:rPr>
          <w:rFonts w:ascii="Times" w:hAnsi="Times"/>
        </w:rPr>
        <w:t>“…</w:t>
      </w:r>
      <w:r w:rsidRPr="00E97E0B">
        <w:rPr>
          <w:rFonts w:ascii="Times" w:hAnsi="Times"/>
          <w:i/>
          <w:iCs/>
        </w:rPr>
        <w:t xml:space="preserve">Si le CFCM n'existait plus, s'il perdait de sa légitimité, ce seraient tous les musulmans de France, et d'abord les responsables que vous êtes, qui en pâtiraient. Et cela d'autant plus que, vous le savez bien, l'installation de l'islam dans les sociétés occidentales est une affaire complexe, pour des raisons à la fois internes et internationales. Pour des raisons propres aussi à l'islam que vous n'ignorez pas et qui expliquent les difficultés d'accueil que vous pouvez rencontrer dans certaines sociétés. La France est aujourd'hui le pays d'Europe où réside le plus grand nombre de personnes d'origine ou de confession musulmane. Mais c'est aussi un pays qui a réellement progressé dans la place faite à l'islam comme religion, dans l'intégration de l'islam dans l'espace public. C'est, grâce à vous, un pays où le dialogue entre les pouvoirs publics et les musulmans apparaît plus serein, moins tendu et, pour tout dire, plus fraternel. Cela ne veut pas dire que nous sommes d'accord sur tout, cela veut dire que nous sommes capables de gérer nos désaccords en fonction des traditions démocratiques qui sont les nôtres. Grâce à vous, notre pays ne connaît aucune montée de tension dans les rapports entre musulmans et non musulmans. Certes, des cas d'islamophobie existent je ne le nie pas. Mais il y a un très large consensus dans la société française pour les combattre… … Cette situation de paix que connaît notre pays, nombreux sont ceux qui nous l'envient. Certains extrémistes voudraient y mettre un terme. Ceux qui tuent au nom de l'islam et qui voudraient nous précipiter dans une guerre de religion à l'échelle mondiale. Ils salissent l'islam en parlant en son nom. Ils n'ont rien à voir avec l'islam. Ceux qui parlent de haine au nom de l'islam blasphèment l'islam. Ceux qui veulent tuer au nom de l'islam, ceux qui veulent la violence au nom de l'islam, ceux qui veulent la détestation de l'autre au nom de l'islam n'ont rien à faire sur le sol de la République française. Que les choses soient claires. Ceux qui veulent vivre la foi dans le respect des principes de l'islam, dans le respect de la laïcité et de la République sont les bienvenus sur le territoire de la République. Voilà le message que je veux porter au nom de la République. Cette situation de paix, je veux que nous la confirmions, je veux que nous la consolidions et que nous refusions cette guerre de religion à l'échelle mondiale. Je veux d'ailleurs dire que le souci de la diversité que j'ai toujours porté comme ministres des Cultes et comme Président de la République sur le territoire de la République française, j'aimerais que chaque société à travers le monde, le porte avec la même force. En France, nous respectons ceux qui pratiquent l'islam. Je souhaite que, dans les pays majoritairement musulmans, on ait le même respect de la différence et de l'identité de l'autre. Croire, c'est un facteur d'espérance et c'est parfaitement respectable, mais si la diversité est bonne en France, alors convenons que la diversité est bonne dans toutes les sociétés à travers le monde. Et je veux dire avec la même force que je me suis toujours battu pour que les Musulmans de France puissent vivre l'islam de France mais je veux que, partout ailleurs, ceux qui sont dans un pays musulman et qui ont une autre foi ou qui n'ont pas de foi - et c'est leur droit - puissent également être respectés dans leur identité et dans leur diversité. La diversité, on ne peut pas la souhaiter lorsque l'on est minoritaire et la combattre lorsque l'on est majoritaire. Cela doit être la même situation, me semble-t-il, partout dans le monde. ” </w:t>
      </w:r>
      <w:r w:rsidRPr="00E97E0B">
        <w:rPr>
          <w:rFonts w:ascii="Times" w:hAnsi="Times"/>
        </w:rPr>
        <w:t>(Çeviri araştırmacı tarafından yapılmıştır).</w:t>
      </w:r>
    </w:p>
  </w:footnote>
  <w:footnote w:id="260">
    <w:p w14:paraId="5D8C0358" w14:textId="48570E6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p>
  </w:footnote>
  <w:footnote w:id="261">
    <w:p w14:paraId="5F693530" w14:textId="10522AA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p>
  </w:footnote>
  <w:footnote w:id="262">
    <w:p w14:paraId="622A53B1" w14:textId="6545E0B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44" w:name="_Hlk119272775"/>
      <w:r w:rsidRPr="00E97E0B">
        <w:rPr>
          <w:rFonts w:ascii="Times" w:hAnsi="Times"/>
        </w:rPr>
        <w:t xml:space="preserve">“Déclaration de M. Nicolas Sarkozy, Président de la République, sur la place de l'islam en France, à Paris le 1er octobre 2007,” Collection des discours publics, Vie Publique, 1.10.2007, [Erişim: 01.03.2022], https://www.vie-publique.fr/discours/167925-declaration-de-m-nicolas-sarkozy-president-de-la-republique-sur-la-pl , </w:t>
      </w:r>
      <w:bookmarkEnd w:id="144"/>
      <w:r w:rsidRPr="00E97E0B">
        <w:rPr>
          <w:rFonts w:ascii="Times" w:hAnsi="Times"/>
          <w:i/>
          <w:iCs/>
        </w:rPr>
        <w:t xml:space="preserve">“…Même au gouvernement, certains s'obligent à ce jeûne. Cette proximité illustre, du sommet à la base de notre société, la place de l'islam comme composante intime de notre pays. N'en déplaise à quelques-uns que je combats, l'islam c'est aussi une partie de la France. Moi qui me suis tellement battu pour qu'il y ait un islam de France et non pas un islam en France…” </w:t>
      </w:r>
      <w:r w:rsidRPr="00E97E0B">
        <w:rPr>
          <w:rFonts w:ascii="Times" w:hAnsi="Times"/>
        </w:rPr>
        <w:t>(Çeviri araştırmacı tarafından yapılmıştır).</w:t>
      </w:r>
    </w:p>
  </w:footnote>
  <w:footnote w:id="263">
    <w:p w14:paraId="0CD9A4AA" w14:textId="4AC36825"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xml:space="preserve">, </w:t>
      </w:r>
      <w:r w:rsidRPr="00E97E0B">
        <w:rPr>
          <w:rFonts w:ascii="Times" w:hAnsi="Times"/>
          <w:i/>
          <w:iCs/>
        </w:rPr>
        <w:t xml:space="preserve">“…je vous indiquais que la formation des imams me semblait être une des priorités de l'islam de France. Vous pouvez le constater, l'islam de France avance. Je serai à vos côtés pour défendre vos droits, je vous demande d'être à mes côtés pour exercer vos devoirs. Il n'y a pas de droits sans devoirs et puis je suis particulièrement heureux que Fadela Amara soit ici parce que c'est très important pour moi que dans le gouvernement de la France, Fadela soit membre comme Rachida Dati comme Garde des Sceaux…” </w:t>
      </w:r>
      <w:r w:rsidRPr="00E97E0B">
        <w:rPr>
          <w:rFonts w:ascii="Times" w:hAnsi="Times"/>
        </w:rPr>
        <w:t>(Çeviri araştırmacı tarafından yapılmıştır).</w:t>
      </w:r>
    </w:p>
  </w:footnote>
  <w:footnote w:id="264">
    <w:p w14:paraId="148ECECC" w14:textId="3251318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“Déclarations de M. Nicolas Sarkozy, Ministre de l'intérieur, de la sécurité intérieure et des libertés locales, sur le principe de laïcité, le dialogue entre les religions, le débat sur le projet d'une loi interdisant le port du voile islamique à l'école et les réactions dans le monde musulman, et sur la lutte contre le terrorisme, Le Caire le 30 décembre 2003,” Collection des discours publics, Vie Publique, [Erişim: 02.04.2022], Collection des discours publics, Vie Publique, </w:t>
      </w:r>
      <w:r w:rsidRPr="00E97E0B">
        <w:rPr>
          <w:rFonts w:ascii="Times" w:hAnsi="Times"/>
          <w:i/>
          <w:iCs/>
        </w:rPr>
        <w:t xml:space="preserve">“…L'Islam de France est devenu, avec le temps, l'une des grandes religions pratiquées en France et je voudrais dire au grand Imam que pas une seule nation européenne n'a fait autant que la France pour garantir les libertés de pratique religieuse des musulmans de France” </w:t>
      </w:r>
      <w:r w:rsidRPr="00E97E0B">
        <w:rPr>
          <w:rFonts w:ascii="Times" w:hAnsi="Times"/>
        </w:rPr>
        <w:t>(Çeviri araştırmacı tarafından yapılmıştır).</w:t>
      </w:r>
    </w:p>
  </w:footnote>
  <w:footnote w:id="265">
    <w:p w14:paraId="45A03510" w14:textId="192F539E"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527F0C" w:rsidRPr="00E97E0B">
        <w:rPr>
          <w:rFonts w:ascii="Times" w:hAnsi="Times"/>
        </w:rPr>
        <w:t>“</w:t>
      </w:r>
      <w:r w:rsidRPr="00E97E0B">
        <w:rPr>
          <w:rFonts w:ascii="Times" w:hAnsi="Times"/>
        </w:rPr>
        <w:t>Discours de Nicolas Sarkozy au Palais du Latran le 20 décembre 2007,</w:t>
      </w:r>
      <w:r w:rsidR="00527F0C" w:rsidRPr="00E97E0B">
        <w:rPr>
          <w:rFonts w:ascii="Times" w:hAnsi="Times"/>
        </w:rPr>
        <w:t>”</w:t>
      </w:r>
      <w:r w:rsidRPr="00E97E0B">
        <w:rPr>
          <w:rFonts w:ascii="Times" w:hAnsi="Times"/>
        </w:rPr>
        <w:t xml:space="preserve"> Le Monde, 20.12.2007, [Erişim: 10.03.2022], https://www.lemonde.fr/politique/article/2007/12/21/discours-du-president-de-la-republique-dans-la-salle-de-la-signature-du-palais-du-latran_992170_823448.html </w:t>
      </w:r>
      <w:r w:rsidRPr="00E97E0B">
        <w:rPr>
          <w:rFonts w:ascii="Times" w:eastAsia="Times New Roman" w:hAnsi="Times" w:cs="Times New Roman"/>
          <w:i/>
          <w:iCs/>
        </w:rPr>
        <w:t xml:space="preserve">“…La France a beaucoup changé. Les citoyens français ont des convictions plus diverses qu'autrefois. Dès lors la laïcité s'affirme comme une nécessité et oserais-je le dire, une chance. Elle est devenue une condition de la paix civile. Et c'est pourquoi le peuple français a été aussi ardent pour défendre la liberté scolaire que pour souhaiter l'interdiction des signes ostentatoires à l'école. Cela étant, la laïcité ne saurait être la négation du passé. La laïcité n'a pas le pouvoir de couper la France de ses racines chrétiennes. Elle a tenté de le faire. Elle n'aurait pas dû. Comme Benoît XVI, je considère qu'une nation qui ignore l'héritage éthique, spirituel, religieux de son histoire commet un crime contre sa culture, contre ce mélange d'histoire, de patrimoine, d'art et de traditions populaires, qui imprègne si profondément notre manière de vivre et de penser. Arracher la racine, c'est perdre la signification, c'est affaiblir le ciment de l'identité nationale, c'est dessécher davantage encore les rapports sociaux qui ont tant besoin de symboles de mémoire. C'est pourquoi nous devons tenir ensemble les deux bouts de la chaîne: assumer les racines chrétiennes de la France, et même les valoriser, tout en défendant la laïcité, enfin parvenue à maturité. Voilà le sens de la démarche que j'ai voulu accomplir ce soir à Saint-Jean de Latran.” </w:t>
      </w:r>
      <w:r w:rsidRPr="00E97E0B">
        <w:rPr>
          <w:rFonts w:ascii="Times" w:eastAsia="Times New Roman" w:hAnsi="Times" w:cs="Times New Roman"/>
        </w:rPr>
        <w:t>(Çeviri araştırmacı tarafından yapılmıştır).</w:t>
      </w:r>
    </w:p>
  </w:footnote>
  <w:footnote w:id="266">
    <w:p w14:paraId="2E206F32" w14:textId="76887B5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45" w:name="_Hlk119272902"/>
      <w:r w:rsidRPr="00E97E0B">
        <w:rPr>
          <w:rFonts w:ascii="Times" w:hAnsi="Times"/>
        </w:rPr>
        <w:t xml:space="preserve">“Erdoğan: Din Türkiye’nin çimentosudur,” Hürriyet, [Erişim: 11.03.2022], https://www.hurriyet.com.tr/gundem/erdogan-din-turkiye-nin-cimentosudur-3634007 </w:t>
      </w:r>
      <w:bookmarkEnd w:id="145"/>
    </w:p>
  </w:footnote>
  <w:footnote w:id="267">
    <w:p w14:paraId="2D569679" w14:textId="7878D96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t xml:space="preserve">““Toutes les civilisations ne se valent pas”: Sarkozy prend la défense de Guéant,” Sudinfo, </w:t>
      </w:r>
      <w:r w:rsidRPr="00E97E0B">
        <w:rPr>
          <w:rFonts w:ascii="Times" w:hAnsi="Times"/>
        </w:rPr>
        <w:t>06.02.2012, [Erişim: 11.03.2022]</w:t>
      </w:r>
      <w:r w:rsidRPr="00E97E0B">
        <w:t xml:space="preserve"> </w:t>
      </w:r>
      <w:r w:rsidRPr="00E97E0B">
        <w:rPr>
          <w:rFonts w:ascii="Times" w:hAnsi="Times"/>
        </w:rPr>
        <w:t xml:space="preserve">https://www.sudinfo.be/art/297830/article/actualite/monde/2012-02-06/toutes-les-civilisations-ne-se-valent-pas-sarkozy-prend-la-defense-de-gueant </w:t>
      </w:r>
      <w:r w:rsidRPr="00E97E0B">
        <w:rPr>
          <w:rFonts w:ascii="Times" w:hAnsi="Times"/>
          <w:i/>
          <w:iCs/>
        </w:rPr>
        <w:t>“Le ministre de l’Intérieur a dit qu’une civilisation, un régime, une société qui n’accordaient pas la même place et les mêmes droits à des hommes et à des femmes, ça n’avait pas la même valeur. C’est du bon sens.”</w:t>
      </w:r>
      <w:r w:rsidRPr="00E97E0B">
        <w:rPr>
          <w:rFonts w:ascii="Times" w:hAnsi="Times"/>
        </w:rPr>
        <w:t xml:space="preserve"> (Çeviri araştırmacı tarafından yapılmıştır).</w:t>
      </w:r>
    </w:p>
  </w:footnote>
  <w:footnote w:id="268">
    <w:p w14:paraId="64506C3A" w14:textId="77777777" w:rsidR="003C2413" w:rsidRPr="00E97E0B" w:rsidRDefault="003C2413" w:rsidP="00237962">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“Discours de Nicolas Sarkozy à Bordeaux,” Youtube, 03.03.2012, [Erişim: 11.03.2022] https://www.youtube.com/watch?v=ou-QTPEBKYQ </w:t>
      </w:r>
    </w:p>
    <w:p w14:paraId="6DD77A78" w14:textId="697BEBF2" w:rsidR="003C2413" w:rsidRPr="00E97E0B" w:rsidRDefault="003C2413" w:rsidP="002858AE">
      <w:pPr>
        <w:pStyle w:val="DipnotMetni1"/>
        <w:spacing w:before="0" w:after="0" w:line="240" w:lineRule="auto"/>
        <w:rPr>
          <w:rFonts w:ascii="Times" w:hAnsi="Times"/>
        </w:rPr>
      </w:pPr>
      <w:r w:rsidRPr="00E97E0B">
        <w:rPr>
          <w:rFonts w:ascii="Times" w:hAnsi="Times"/>
          <w:i/>
          <w:iCs/>
        </w:rPr>
        <w:t>“…La république ce n’est pas l’égalitarisme ce n’est pas le nivellement c’est la liberté par l’égalité des droits et par l’égalité des chances, c’est la liberté par le mérite par le travail et par le talent. L’égalité d’ailleurs c’est le refus que des groupes des communautés, des minorités et des droits différents des autres. Dans la république il n’y a pas de place pour le communautarisme, il n’y a pas de place dans la république pour la discrimination, dans la république il n’y a pas de place pour les droits des minorités, il n’y a de la place que pour les droits des citoyens et c’est très différent. Dans la république il n’y a pas de place pour la burqua. Dans la république il n’y a pas de place pour ceux qui fracturent et pour ceux qui divisent. La république c’est le respect de la diversité mais dans l’unité de la république. La république elle ne demande à personne de renier sa propre histoire, elle ne demande à personne d’oublier ses origines mais elle demande à chacun de prendre en partage quelque chose de plus que ses origines et sa propre histoire elle demande à chacun, quelque chose de plus, de prendre en partage des valeurs une histoire une culture une langue le français, un mode de vie et même une idée de la civilisation qui pour nous est incompatible avec l’inégalité entre les hommes et les femmes! C’est notre idée de la civilisation! L’égalité des sexes!...</w:t>
      </w:r>
      <w:r w:rsidRPr="00E97E0B">
        <w:rPr>
          <w:rFonts w:ascii="Times" w:hAnsi="Times"/>
        </w:rPr>
        <w:t xml:space="preserve"> </w:t>
      </w:r>
      <w:r w:rsidRPr="00E97E0B">
        <w:rPr>
          <w:rFonts w:ascii="Times" w:hAnsi="Times"/>
          <w:i/>
          <w:iCs/>
        </w:rPr>
        <w:t xml:space="preserve">La république ne demande à personne mais à personne de récuser son identité mais elle demande à tous de prendre en partage l’identité nationale et l’identité nationale ce n’est pas un gros mot! L’attachement à l’identité nationale, le devoir de la préserver -qu’il me soit permis de le dire- c’est un sentiment profondement républicain. Et je vais vous le démontrer car pour la  république la nation est un partage et pour partager il faut avoir quelque chose en commun qui soit plus fort que les intérêts de chacun: un pays le nôtre. Qui a inventé la république au cries de “Vive la nation” sur le champs de bataille de Valmy ne peut pas dissocier et ne peut pas opposer la république et la nation, c’est notre conception de l’identité nationale!” </w:t>
      </w:r>
      <w:r w:rsidRPr="00E97E0B">
        <w:rPr>
          <w:rFonts w:ascii="Times" w:hAnsi="Times"/>
        </w:rPr>
        <w:t>(Çeviri araştırmacı tarafından yapılmıştır).</w:t>
      </w:r>
    </w:p>
  </w:footnote>
  <w:footnote w:id="269">
    <w:p w14:paraId="7E82379D" w14:textId="3311915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p>
    <w:p w14:paraId="649C8322" w14:textId="77777777" w:rsidR="003C2413" w:rsidRPr="00E97E0B" w:rsidRDefault="003C2413" w:rsidP="002858AE">
      <w:pPr>
        <w:pStyle w:val="DipnotMetni1"/>
        <w:spacing w:before="0" w:after="0" w:line="240" w:lineRule="auto"/>
        <w:rPr>
          <w:rFonts w:ascii="Times" w:hAnsi="Times"/>
        </w:rPr>
      </w:pPr>
      <w:r w:rsidRPr="00E97E0B">
        <w:rPr>
          <w:rFonts w:ascii="Times" w:hAnsi="Times"/>
        </w:rPr>
        <w:t xml:space="preserve"> </w:t>
      </w:r>
      <w:r w:rsidRPr="00E97E0B">
        <w:rPr>
          <w:rFonts w:ascii="Times" w:hAnsi="Times"/>
          <w:i/>
          <w:iCs/>
        </w:rPr>
        <w:t>“…Donner le droit de vote aux etrangers, séparer la citoyenneté et la nationalité cest porter atteinte à la république parce que c’est ouvrir la voie au vote communautaire et c’est mettre les maires sous la menace</w:t>
      </w:r>
      <w:r w:rsidRPr="00E97E0B">
        <w:rPr>
          <w:rFonts w:ascii="Times" w:hAnsi="Times"/>
        </w:rPr>
        <w:t xml:space="preserve"> </w:t>
      </w:r>
      <w:r w:rsidRPr="00E97E0B">
        <w:rPr>
          <w:rFonts w:ascii="Times" w:hAnsi="Times"/>
          <w:i/>
          <w:iCs/>
        </w:rPr>
        <w:t xml:space="preserve">du chantage communautaire or la république ne reconnait pas le communautarisme! Aucune communauté! Mes chers amis, rappelez que la république est laic…” </w:t>
      </w:r>
      <w:r w:rsidRPr="00E97E0B">
        <w:rPr>
          <w:rFonts w:ascii="Times" w:hAnsi="Times"/>
        </w:rPr>
        <w:t>(Konuşma Metninin Transkripsiyonu ve çevirisi araştırmacı tarafından yapılmıştır)</w:t>
      </w:r>
    </w:p>
  </w:footnote>
  <w:footnote w:id="270">
    <w:p w14:paraId="635FAE5A" w14:textId="557F928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“Les étrangers ont-ils le droit de vote?” Les Fiches, Vie Publique, Güncelleme: 11.10.2021,  [Erişim: 13.03.2022], https://www.vie-publique.fr/fiches/23928-les-etrangers-ont-ils-le-droit-de-vote </w:t>
      </w:r>
    </w:p>
  </w:footnote>
  <w:footnote w:id="271">
    <w:p w14:paraId="68B0AE53" w14:textId="684DAAF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“Discours de Nicolas Sarkozy à Bordeaux,” Youtube.</w:t>
      </w:r>
    </w:p>
    <w:p w14:paraId="5D1C9B1D" w14:textId="77777777" w:rsidR="003C2413" w:rsidRPr="00E97E0B" w:rsidRDefault="003C2413" w:rsidP="002858AE">
      <w:pPr>
        <w:pStyle w:val="DipnotMetni1"/>
        <w:spacing w:before="0" w:after="0" w:line="240" w:lineRule="auto"/>
        <w:rPr>
          <w:rFonts w:ascii="Times" w:hAnsi="Times"/>
          <w:i/>
          <w:iCs/>
        </w:rPr>
      </w:pPr>
      <w:r w:rsidRPr="00E97E0B">
        <w:rPr>
          <w:rFonts w:ascii="Times" w:hAnsi="Times"/>
        </w:rPr>
        <w:t xml:space="preserve"> </w:t>
      </w:r>
      <w:r w:rsidRPr="00E97E0B">
        <w:rPr>
          <w:rFonts w:ascii="Times" w:hAnsi="Times"/>
          <w:i/>
          <w:iCs/>
        </w:rPr>
        <w:t xml:space="preserve">“…L’immigraiton est un atout, l’immigration est une richesse mais pourquoi ne pas reconnaitre que l’immigration peut aussi être un problème. Pourquoi mentir? Pourquoi ne pas avoir le courage d’employer les mots?... … Je pense qu’il faut controler l’immigration pour qu’elle soit compatible avec la cappacité d’accueil, avec la situation de notre économie avec la situation de notre école et même avec l’équilibre de notre protection sociale…” </w:t>
      </w:r>
      <w:r w:rsidRPr="00E97E0B">
        <w:rPr>
          <w:rFonts w:ascii="Times" w:hAnsi="Times"/>
        </w:rPr>
        <w:t>(Konuşma Metninin Transkripsiyonu ve çevirisi araştırmacı tarafından yapılmıştır).</w:t>
      </w:r>
    </w:p>
  </w:footnote>
  <w:footnote w:id="272">
    <w:p w14:paraId="2D779621" w14:textId="39F6407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xml:space="preserve">  </w:t>
      </w:r>
    </w:p>
    <w:p w14:paraId="5FC74DB9" w14:textId="24A3333E" w:rsidR="003C2413" w:rsidRPr="00E97E0B" w:rsidRDefault="003C2413" w:rsidP="002858AE">
      <w:pPr>
        <w:pStyle w:val="DipnotMetni1"/>
        <w:spacing w:before="0" w:after="0" w:line="240" w:lineRule="auto"/>
        <w:rPr>
          <w:rFonts w:ascii="Times" w:hAnsi="Times"/>
        </w:rPr>
      </w:pPr>
      <w:r w:rsidRPr="00E97E0B">
        <w:rPr>
          <w:rFonts w:ascii="Times" w:hAnsi="Times"/>
          <w:i/>
          <w:iCs/>
        </w:rPr>
        <w:t xml:space="preserve">“Ce n’est pas une affaire d’idéologie, c’est une affaire de bon sens, et si les républicains ne sont pas capables de défendre ses idées alors lis ne meritent pas le beau titre d’hommes et de femmes d’Etat. Ce ne sont que des politiciens! Dont le seul but -parce que derriere les grands principes derriere les leçons morales il n’y a qu’une seule idée: gagner une clièntele électorale à bon compte. Voilà ce qu’il y a derrière! Et quand on a perdu le vote populaire on veut mobiliser le vote communautaire. Voilà la réalité!...” </w:t>
      </w:r>
      <w:r w:rsidRPr="00E97E0B">
        <w:rPr>
          <w:rFonts w:ascii="Times" w:hAnsi="Times"/>
        </w:rPr>
        <w:t>(Konuşma Metninin Transkripsiyonu ve çevirisi araştırmacı tarafından yapılmıştır).</w:t>
      </w:r>
    </w:p>
  </w:footnote>
  <w:footnote w:id="273">
    <w:p w14:paraId="7BFD94F6" w14:textId="3EFE109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Achille Mbembe, “L’Afrique de Nicolas Sarkozy,” </w:t>
      </w:r>
      <w:r w:rsidRPr="00E97E0B">
        <w:rPr>
          <w:rFonts w:ascii="Times" w:hAnsi="Times"/>
          <w:i/>
          <w:iCs/>
        </w:rPr>
        <w:t>Mouvement</w:t>
      </w:r>
      <w:r w:rsidRPr="00E97E0B">
        <w:rPr>
          <w:rFonts w:ascii="Times" w:hAnsi="Times"/>
        </w:rPr>
        <w:t>, c. 4, s. 52, (2007), 68.</w:t>
      </w:r>
    </w:p>
  </w:footnote>
  <w:footnote w:id="274">
    <w:p w14:paraId="4A488AA4" w14:textId="227BC1F3" w:rsidR="003C2413" w:rsidRPr="00E97E0B" w:rsidRDefault="003C2413" w:rsidP="005B407C">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47" w:name="_Hlk119273283"/>
      <w:r w:rsidRPr="00E97E0B">
        <w:rPr>
          <w:rFonts w:ascii="Times" w:hAnsi="Times"/>
        </w:rPr>
        <w:t xml:space="preserve">Carine Fouteau, “Comment Nicolas Sarkozy a rendu possible la dérive raciste à droite?,” Mediapart, 27.03.2010, [Erişim: 20.03.2022], https://www.mediapart.fr/journal/france/230310/comment-nicolas-sarkozy-rendu-possible-la-derive-raciste-droite </w:t>
      </w:r>
      <w:bookmarkEnd w:id="147"/>
    </w:p>
  </w:footnote>
  <w:footnote w:id="275">
    <w:p w14:paraId="5BFB975C" w14:textId="617F8F97" w:rsidR="003C2413" w:rsidRPr="00E97E0B" w:rsidRDefault="003C2413" w:rsidP="005B407C">
      <w:pPr>
        <w:pStyle w:val="DipnotMetni1"/>
        <w:spacing w:before="0" w:after="0" w:line="240" w:lineRule="auto"/>
        <w:rPr>
          <w:rFonts w:ascii="Times" w:hAnsi="Times"/>
        </w:rPr>
      </w:pPr>
      <w:r w:rsidRPr="00E97E0B">
        <w:rPr>
          <w:rStyle w:val="FootnoteReference"/>
          <w:rFonts w:ascii="Times" w:hAnsi="Times"/>
        </w:rPr>
        <w:footnoteRef/>
      </w:r>
      <w:bookmarkStart w:id="148" w:name="_Hlk119273615"/>
      <w:r w:rsidRPr="00E97E0B">
        <w:rPr>
          <w:rFonts w:ascii="Times" w:hAnsi="Times"/>
        </w:rPr>
        <w:t xml:space="preserve"> “Le discours de Dakar de Nicolas Sarkozy, l'intégralité du discours du président de la République, prononcé le 26 juillet 2007,” Le Monde, https://www.lemonde.fr/afrique/article/2007/11/09/le-discours-de-dakar_976786_3212.</w:t>
      </w:r>
      <w:r w:rsidR="00527F0C" w:rsidRPr="00E97E0B">
        <w:rPr>
          <w:rFonts w:ascii="Times" w:hAnsi="Times"/>
        </w:rPr>
        <w:t>html Le</w:t>
      </w:r>
      <w:r w:rsidRPr="00E97E0B">
        <w:rPr>
          <w:rFonts w:ascii="Times" w:hAnsi="Times"/>
        </w:rPr>
        <w:t xml:space="preserve"> Monde Afrique, [Erişim: 20.03.2022], </w:t>
      </w:r>
      <w:r w:rsidRPr="00E97E0B">
        <w:rPr>
          <w:rFonts w:ascii="Times" w:hAnsi="Times"/>
          <w:i/>
          <w:iCs/>
        </w:rPr>
        <w:t>“…</w:t>
      </w:r>
      <w:bookmarkEnd w:id="148"/>
      <w:r w:rsidRPr="00E97E0B">
        <w:rPr>
          <w:rFonts w:ascii="Times" w:hAnsi="Times"/>
          <w:i/>
          <w:iCs/>
        </w:rPr>
        <w:t xml:space="preserve">Je suis venu, jeunes d'Afrique, regarder en face avec vous notre histoire commune. L'Afrique a sa part de responsabilité dans son propre malheur. On s'est entretué en Afrique au moins autant qu'en Europe. Mais il est vrai que jadis, les Européens sont venus en Afrique en conquérants. Ils ont pris la terre de vos ancêtres. Ils ont banni les dieux, les langues, les croyances, les coutumes de vos pères. Ils ont dit à vos pères ce qu'ils devaient penser, ce qu'ils devaient croire, ce qu'ils devaient faire. Ils ont coupé vos pères de leur passé, ils leur ont arraché leur âme et leurs racines. Ils ont désenchanté l'Afrique. Ils ont eu tort…” </w:t>
      </w:r>
      <w:r w:rsidRPr="00E97E0B">
        <w:rPr>
          <w:rFonts w:ascii="Times" w:hAnsi="Times"/>
        </w:rPr>
        <w:t>(Konuşma Metninin Transkripsiyonu ve çevirisi araştırmacı tarafından yapılmıştır).</w:t>
      </w:r>
    </w:p>
  </w:footnote>
  <w:footnote w:id="276">
    <w:p w14:paraId="5DEA7FD5" w14:textId="4E5E80EF" w:rsidR="003C2413" w:rsidRPr="00E97E0B" w:rsidRDefault="003C2413" w:rsidP="005B407C">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49" w:name="_Hlk119273395"/>
      <w:r w:rsidRPr="00E97E0B">
        <w:rPr>
          <w:rFonts w:ascii="Times" w:hAnsi="Times"/>
        </w:rPr>
        <w:t xml:space="preserve">Michel Agier, “l'Afrique en France après le discours de Dakar,” </w:t>
      </w:r>
      <w:r w:rsidRPr="00E97E0B">
        <w:rPr>
          <w:rFonts w:ascii="Times" w:hAnsi="Times"/>
          <w:i/>
          <w:iCs/>
        </w:rPr>
        <w:t>Vacarme</w:t>
      </w:r>
      <w:r w:rsidRPr="00E97E0B">
        <w:rPr>
          <w:rFonts w:ascii="Times" w:hAnsi="Times"/>
        </w:rPr>
        <w:t xml:space="preserve">, [Erişim: 20.03.2022], c. 1, s. 42 (2008), 42 79-81, https://www.cairn.info/revue-vacarme-2008-1-page-79.htm </w:t>
      </w:r>
      <w:bookmarkEnd w:id="149"/>
    </w:p>
  </w:footnote>
  <w:footnote w:id="277">
    <w:p w14:paraId="0836FF4D" w14:textId="5FDC7C2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“Le discours de Dakar de Nicolas Sarkozy,” Le Monde,</w:t>
      </w:r>
      <w:r w:rsidRPr="00E97E0B">
        <w:rPr>
          <w:rFonts w:ascii="Times" w:hAnsi="Times"/>
          <w:i/>
          <w:iCs/>
        </w:rPr>
        <w:t xml:space="preserve">“…Le colonisateur est venu, il a pris, il s'est servi, il a exploité, il a pillé des ressources, des richesses qui ne lui appartenaient pas. Il a dépouillé le colonisé de sa personnalité, de sa liberté, de sa terre, du fruit de son travail. Il a pris mais je veux dire avec respect qu'il a aussi donné. Il a construit des ponts, des routes, des hôpitaux, des dispensaires, des écoles. Il a rendu fécondes des terres vierges, il a donné sa peine, son travail, son savoir. Je veux le dire ici, tous les colons n'étaient pas des voleurs, tous les colons n'étaient pas des exploiteurs. Il y avait parmi eux des hommes mauvais mais il y avait aussi des hommes de bonne volonté, des hommes qui croyaient remplir une mission civilisatrice, des hommes qui croyaient faire le bien. Ils se trompaient mais certains étaient sincères. Ils croyaient donner la liberté, ils créaient l'aliénation. Ils croyaient briser les chaînes de l'obscurantisme, de la superstition, de la servitude. Ils forgeaient des chaînes bien plus lourdes, ils imposaient une servitude plus pesante, car c'étaient les esprits, c'étaient les âmes qui étaient asservis. Ils croyaient donner l'amour sans voir qu'ils semaient la révolte et la haine…” </w:t>
      </w:r>
      <w:r w:rsidRPr="00E97E0B">
        <w:rPr>
          <w:rFonts w:ascii="Times" w:hAnsi="Times"/>
        </w:rPr>
        <w:t>(Konuşma Metninin Transkripsiyonu ve çevirisi araştırmacı tarafından yapılmıştır).</w:t>
      </w:r>
    </w:p>
  </w:footnote>
  <w:footnote w:id="278">
    <w:p w14:paraId="40ECD62F" w14:textId="168D2BC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w:t>
      </w:r>
      <w:r w:rsidRPr="00E97E0B">
        <w:rPr>
          <w:rFonts w:ascii="Times" w:hAnsi="Times"/>
          <w:i/>
          <w:iCs/>
        </w:rPr>
        <w:t xml:space="preserve">”La colonisation n'est pas responsable de toutes les difficultés actuelles de l'Afrique. Elle n'est pas responsable des guerres sanglantes que se font les Africains entre eux. Elle n'est pas responsable des génocides. Elle n'est pas responsable des dictateurs. Elle n'est pas responsable du fanatisme. Elle n'est pas responsable de la corruption, de la prévarication. Elle n'est pas responsable des gaspillages et de la pollution. Mais la colonisation fut une grande faute qui fut payée par l'amertume et la souffrance de ceux qui avaient cru tout donner et qui ne comprenaient pas pourquoi on leur en voulait autant…” </w:t>
      </w:r>
      <w:r w:rsidRPr="00E97E0B">
        <w:rPr>
          <w:rFonts w:ascii="Times" w:hAnsi="Times"/>
        </w:rPr>
        <w:t>(Konuşma Metninin Transkripsiyonu ve çevirisi araştırmacı tarafından yapılmıştır).</w:t>
      </w:r>
    </w:p>
  </w:footnote>
  <w:footnote w:id="279">
    <w:p w14:paraId="58E19F2A" w14:textId="34563B15"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50" w:name="_Hlk119273568"/>
      <w:r w:rsidR="004671D2">
        <w:rPr>
          <w:rFonts w:ascii="Times" w:hAnsi="Times"/>
        </w:rPr>
        <w:t>Ibid.</w:t>
      </w:r>
      <w:r w:rsidRPr="00E97E0B">
        <w:rPr>
          <w:rFonts w:ascii="Times" w:hAnsi="Times"/>
        </w:rPr>
        <w:t>,</w:t>
      </w:r>
      <w:r w:rsidRPr="00E97E0B">
        <w:rPr>
          <w:rFonts w:ascii="Times" w:hAnsi="Times"/>
          <w:i/>
          <w:iCs/>
        </w:rPr>
        <w:t>“…</w:t>
      </w:r>
      <w:bookmarkEnd w:id="150"/>
      <w:r w:rsidRPr="00E97E0B">
        <w:rPr>
          <w:rFonts w:ascii="Times" w:hAnsi="Times"/>
          <w:i/>
          <w:iCs/>
        </w:rPr>
        <w:t>La colonisation fut une grande faute mais de cette grande faute est né l'embryon d'une destinée commune. Et cette idée me tient particulièrement à cœur. La colonisation fut une faute qui a changé le destin de l'Europe et le destin de l'Afrique et qui les a mêlés. Et ce destin commun a été scellé par le sang des Africains qui sont venus mourir dans les guerres européennes. Et la France n'oublie pas ce sang africain versé pour sa liberté. Nul ne peut faire comme si rien n'était arrivé. Nul ne peut faire comme si cette faute n'avait pas été commise. Nul ne peut faire comme si cette histoire n'avait pas eu lieu. Pour le meilleur comme pour le pire, la colonisation a transformé l'homme africain et l'homme européen. Jeunes d'Afrique, vous êtes les héritiers des plus vieilles traditions africaines et vous êtes les héritiers de tout ce que l'Occident a déposé dans le cœur et dans l'âme de l'Afrique. Jeunes d'Afrique, la civilisation européenne a eu tort de se croire supérieure à celle de vos ancêtres, mais désormais la civilisation européenne vous appartient aussi...”</w:t>
      </w:r>
      <w:r w:rsidRPr="00E97E0B">
        <w:rPr>
          <w:rFonts w:ascii="Times" w:hAnsi="Times"/>
        </w:rPr>
        <w:t xml:space="preserve"> (Konuşma Metninin Transkripsiyonu ve çevirisi araştırmacı tarafından yapılmıştır).</w:t>
      </w:r>
    </w:p>
  </w:footnote>
  <w:footnote w:id="280">
    <w:p w14:paraId="62A40325" w14:textId="1227F4C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Ag.m.,</w:t>
      </w:r>
      <w:r w:rsidRPr="00E97E0B">
        <w:rPr>
          <w:rFonts w:ascii="Times" w:hAnsi="Times"/>
          <w:i/>
          <w:iCs/>
        </w:rPr>
        <w:t xml:space="preserve">“…Je suis venu vous dire que vous n'avez pas à avoir honte des valeurs de la civilisation africaine, qu'elles ne vous tirent pas vers le bas mais vers le haut, qu'elles sont un antidote au matérialisme et à l'individualisme qui asservissent l'homme moderne, qu'elles sont le plus précieux des héritages face à la déshumanisation et à l'aplatissement du monde. Je suis venu vous dire que l'homme moderne qui éprouve le besoin de se réconcilier avec la nature a beaucoup à apprendre de l'homme africain qui vit en symbiose avec la nature depuis des millénaires…” </w:t>
      </w:r>
      <w:r w:rsidRPr="00E97E0B">
        <w:rPr>
          <w:rFonts w:ascii="Times" w:hAnsi="Times"/>
        </w:rPr>
        <w:t>(Konuşma Metninin Transkripsiyonu ve çevirisi araştırmacı tarafından yapılmıştır).</w:t>
      </w:r>
    </w:p>
  </w:footnote>
  <w:footnote w:id="281">
    <w:p w14:paraId="49198A11" w14:textId="14D5513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w:t>
      </w:r>
      <w:r w:rsidRPr="00E97E0B">
        <w:rPr>
          <w:rFonts w:ascii="Times" w:hAnsi="Times"/>
          <w:i/>
          <w:iCs/>
        </w:rPr>
        <w:t xml:space="preserve">“…Je suis venu vous dire que cette déchirure entre ces deux parts de vous-mêmes est votre plus grande force, et votre plus grande faiblesse selon que vous vous efforcerez ou non d'en faire la synthèse. Mais je suis venu vous dire que la part d'Europe qui est en vous est le fruit d'un grand péché d'orgueil de l'Occident mais que cette part d'Europe en vous n'est pas indigne. Car elle est l'appel de la liberté, de l'émancipation et de la justice et de l'égalité entre les femmes et les hommes. Car elle est l'appel à la raison et à la conscience universelles. Le drame de l'Afrique, c'est que l'homme africain n'est pas assez entré dans l'histoire. Le paysan africain, qui depuis des millénaires, vit avec les saisons, dont l'idéal de vie est d'être en harmonie avec la nature, ne connaît que l'éternel recommencement du temps rythmé par la répétition sans fin des mêmes gestes et des mêmes paroles. Dans cet imaginaire où tout recommence toujours, il n'y a de place ni pour l'aventure humaine, ni pour l'idée de progrès. Dans cet univers où la nature commande tout, l'homme échappe à l'angoisse de l'histoire qui tenaille l'homme moderne mais l'homme reste immobile au milieu d'un ordre immuable où tout semble être écrit d'avance. Jamais l'homme ne s'élance vers l'avenir. Jamais il ne lui vient à l'idée de sortir de la répétition pour s'inventer un destin. Le problème de l'Afrique et permettez à un ami de l'Afrique de le dire, il est là. Le défi de l'Afrique, c'est d'entrer davantage dans l'histoire. C'est de puiser en elle l'énergie, la force, l'envie, la volonté d'écouter et d'épouser sa propre histoire. Le problème de l'Afrique, c'est de cesser de toujours répéter, de toujours ressasser, de se libérer du mythe de l'éternel retour, c'est de prendre conscience que l'âge d'or qu'elle ne cesse de regretter, ne reviendra pas pour la raison qu'il n'a jamais existé. Le problème de l'Afrique, c'est qu'elle vit trop le présent dans la nostalgie du paradis perdu de l'enfance. Le problème de l'Afrique, c'est que trop souvent elle juge le présent par rapport à une pureté des origines totalement imaginaire et que personne ne peut espérer ressusciter. Le problème de l'Afrique, ce n'est pas de s'inventer un passé plus ou moins mythique pour s'aider à supporter le présent mais de s'inventer un avenir avec des moyens qui lui soient propres. Le problème de l'Afrique, ce n'est pas de se préparer au retour du malheur, comme si celui-ci devait indéfiniment se répéter, mais de vouloir se donner les moyens de conjurer le malheur, car l'Afrique a le droit au bonheur comme tous les autres continents du monde. Le problème de l'Afrique, c'est de rester fidèle à elle-même sans rester immobile. Le défi de l'Afrique, c'est d'apprendre à regarder son accession à l'universel non comme un reniement de ce qu'elle est mais comme un accomplissement. Le défi de l'Afrique, c'est d'apprendre à se sentir l'héritière de tout ce qu'il y a d'universel dans toutes les civilisations humaines…” </w:t>
      </w:r>
      <w:r w:rsidRPr="00E97E0B">
        <w:rPr>
          <w:rFonts w:ascii="Times" w:hAnsi="Times"/>
        </w:rPr>
        <w:t>(Konuşma Metninin Transkripsiyonu ve çevirisi araştırmacı tarafından yapılmıştır).</w:t>
      </w:r>
    </w:p>
  </w:footnote>
  <w:footnote w:id="282">
    <w:p w14:paraId="73D29007" w14:textId="74F20DC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w:t>
      </w:r>
      <w:r w:rsidRPr="00E97E0B">
        <w:rPr>
          <w:rFonts w:ascii="Times" w:hAnsi="Times"/>
          <w:i/>
          <w:iCs/>
        </w:rPr>
        <w:t xml:space="preserve">“Ce que veut l'Afrique, ce n'est pas que l'on prenne son avenir en main, ce n'est pas que l'on pense à sa place, ce n'est pas que l'on décide à sa place. Ce que veut l'Afrique est ce que veut la France, c'est la coopération, c'est l'association, c'est le partenariat entre des nations égales en droits et en devoirs. Jeunesse africaine, vous voulez la démocratie, vous voulez la liberté, vous voulez la justice, vous voulez le </w:t>
      </w:r>
      <w:r w:rsidR="00527F0C" w:rsidRPr="00E97E0B">
        <w:rPr>
          <w:rFonts w:ascii="Times" w:hAnsi="Times"/>
          <w:i/>
          <w:iCs/>
        </w:rPr>
        <w:t>Droit?</w:t>
      </w:r>
      <w:r w:rsidRPr="00E97E0B">
        <w:rPr>
          <w:rFonts w:ascii="Times" w:hAnsi="Times"/>
          <w:i/>
          <w:iCs/>
        </w:rPr>
        <w:t xml:space="preserve"> C'est à vous d'en décider. La France ne décidera pas à votre place. Mais si vous choisissez la démocratie, la liberté, la justice et le Droit, alors la France s'associera à vous pour les construire. Jeunes d'Afrique, la mondialisation telle qu'elle se fait ne vous plaît pas. L'Afrique a payé trop cher le mirage du collectivisme et du progressisme pour céder à celui du laisser-faire. Jeunes d'Afrique vous croyez que le libre échange est bénéfique mais que ce n'est pas une religion. Vous croyez que la concurrence est un moyen mais que ce n'est pas une fin en soi. Vous ne croyez pas au laisser-faire. Vous savez qu'à être trop naïve, l'Afrique serait condamnée à devenir la proie des prédateurs du monde entier. Et cela vous ne le voulez pas. Vous voulez une autre mondialisation, avec plus d'humanité, avec plus de justice, avec plus de règles. Je suis venu vous dire que la France la veut aussi. Elle veut se battre avec l'Europe, elle veut se battre avec l'Afrique, elle veut se battre avec tous ceux, qui dans le monde, veulent changer la mondialisation. Si l'Afrique, la France et l'Europe le veulent ensemble, alors nous réussirons. Mais nous ne pouvons pas exprimer une volonté à votre place…”</w:t>
      </w:r>
      <w:r w:rsidRPr="00E97E0B">
        <w:rPr>
          <w:rFonts w:ascii="Times" w:hAnsi="Times"/>
        </w:rPr>
        <w:t>(Konuşma Metninin Transkripsiyonu ve çevirisi araştırmacı tarafından yapılmıştır).</w:t>
      </w:r>
    </w:p>
  </w:footnote>
  <w:footnote w:id="283">
    <w:p w14:paraId="6FEC6549" w14:textId="1527C0B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xml:space="preserve">, </w:t>
      </w:r>
      <w:r w:rsidRPr="00E97E0B">
        <w:rPr>
          <w:rFonts w:ascii="Times" w:hAnsi="Times"/>
          <w:i/>
          <w:iCs/>
        </w:rPr>
        <w:t xml:space="preserve">“…La jeunesse africaine doit avoir le sentiment que tout deviendra possible comme tout semblait possible aux hommes de la Renaissance. Alors, je sais bien que la jeunesse africaine, ne doit pas être la seule jeunesse du monde assignée à résidence. Elle ne peut pas être la seule jeunesse du monde qui n'a le choix qu'entre la clandestinité et le repliement sur soi. Elle doit pouvoir acquérir, hors d'Afrique la compétence et le savoir qu'elle ne trouverait pas chez elle. Mais elle doit aussi à la terre africaine de mettre à son service les talents qu'elle aura développés. Il faut revenir bâtir </w:t>
      </w:r>
      <w:r w:rsidR="00527F0C" w:rsidRPr="00E97E0B">
        <w:rPr>
          <w:rFonts w:ascii="Times" w:hAnsi="Times"/>
          <w:i/>
          <w:iCs/>
        </w:rPr>
        <w:t>l’Afrique; il</w:t>
      </w:r>
      <w:r w:rsidRPr="00E97E0B">
        <w:rPr>
          <w:rFonts w:ascii="Times" w:hAnsi="Times"/>
          <w:i/>
          <w:iCs/>
        </w:rPr>
        <w:t xml:space="preserve"> faut lui apporter le savoir, la compétence le dynamisme de ses cadres. Il faut mettre un terme au pillage des élites africaines dont l'Afrique a besoin pour se développer…” </w:t>
      </w:r>
      <w:r w:rsidRPr="00E97E0B">
        <w:rPr>
          <w:rFonts w:ascii="Times" w:hAnsi="Times"/>
        </w:rPr>
        <w:t>(Konuşma Metninin Transkripsiyonu ve çevirisi araştırmacı tarafından yapılmıştır).</w:t>
      </w:r>
    </w:p>
  </w:footnote>
  <w:footnote w:id="284">
    <w:p w14:paraId="5AF68E64" w14:textId="619BB326"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51" w:name="_Hlk119273778"/>
      <w:r w:rsidR="00EC2174" w:rsidRPr="00E97E0B">
        <w:rPr>
          <w:rFonts w:ascii="Times" w:hAnsi="Times"/>
        </w:rPr>
        <w:t>“</w:t>
      </w:r>
      <w:r w:rsidRPr="00E97E0B">
        <w:rPr>
          <w:rFonts w:ascii="Times" w:hAnsi="Times"/>
        </w:rPr>
        <w:t>Déclaration de M. Nicolas Sarkozy, ministre de l'intérieur et de l'aménagement du territoire et président de l'UMP, sur les propositions de l'UMP en matière d'immigration, d'intégration et d'emploi, à l'Assemblée nationale le 9 juin 2005,</w:t>
      </w:r>
      <w:r w:rsidR="00EC2174" w:rsidRPr="00E97E0B">
        <w:rPr>
          <w:rFonts w:ascii="Times" w:hAnsi="Times"/>
        </w:rPr>
        <w:t>”</w:t>
      </w:r>
      <w:r w:rsidRPr="00E97E0B">
        <w:rPr>
          <w:rFonts w:ascii="Times" w:hAnsi="Times"/>
        </w:rPr>
        <w:t xml:space="preserve"> </w:t>
      </w:r>
      <w:r w:rsidR="00EC2174" w:rsidRPr="00E97E0B">
        <w:rPr>
          <w:rFonts w:ascii="Times" w:hAnsi="Times"/>
        </w:rPr>
        <w:t xml:space="preserve">Collection des discours publics, </w:t>
      </w:r>
      <w:r w:rsidRPr="00E97E0B">
        <w:rPr>
          <w:rFonts w:ascii="Times" w:hAnsi="Times"/>
        </w:rPr>
        <w:t>Vie Publique, [Erişim: 10.04.2022],</w:t>
      </w:r>
      <w:r w:rsidR="00EC2174" w:rsidRPr="00E97E0B">
        <w:rPr>
          <w:rFonts w:ascii="Times" w:hAnsi="Times"/>
        </w:rPr>
        <w:t xml:space="preserve"> </w:t>
      </w:r>
      <w:r w:rsidRPr="00E97E0B">
        <w:rPr>
          <w:rFonts w:ascii="Times" w:hAnsi="Times"/>
        </w:rPr>
        <w:t xml:space="preserve">https://www.vie-publique.fr/discours/148700-nicolas-sarkozy-09062005-ump-immigration-integration-emploi, </w:t>
      </w:r>
      <w:bookmarkEnd w:id="151"/>
      <w:r w:rsidRPr="00E97E0B">
        <w:rPr>
          <w:rFonts w:ascii="Times" w:hAnsi="Times"/>
          <w:i/>
          <w:iCs/>
        </w:rPr>
        <w:t>“Actuellement, moins de 5% des immigrés viennent pour répondre à des besoins précis de l'économie, ce qui n'empêche pas les autres de peser eux aussi sur le marché du travail… …Nous accueillerons mieux les réfugiés et les immigrés si nous sommes capables d'endiguer l'immigration clandestine et de réguler l'immigration familiale. A tout subir, à ne rien choisir, nous méconnaissons à la fois nos intérêts économiques et nos convictions humanitaires. Je veux passer d'une immigration subie à une immigration choisie. Enfin, dans un monde qui a profondément changé depuis trente ans, nous ne pouvons plus penser les questions migratoires avec les mêmes concepts qu'en 1974. Nous avons de nouveaux besoins économiques et démographiques. La mondialisation exige une circulation croissante des cerveaux…”</w:t>
      </w:r>
      <w:r w:rsidRPr="00E97E0B">
        <w:rPr>
          <w:rFonts w:ascii="Times" w:hAnsi="Times"/>
        </w:rPr>
        <w:t xml:space="preserve"> (Konuşma Metninin Transkripsiyonu ve çevirisi araştırmacı tarafından yapılmıştır).</w:t>
      </w:r>
    </w:p>
  </w:footnote>
  <w:footnote w:id="285">
    <w:p w14:paraId="3FC16952" w14:textId="798F414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xml:space="preserve">, </w:t>
      </w:r>
      <w:r w:rsidRPr="00E97E0B">
        <w:rPr>
          <w:rFonts w:ascii="Times" w:hAnsi="Times"/>
          <w:i/>
          <w:iCs/>
        </w:rPr>
        <w:t xml:space="preserve">“…nous sommes des métis culturels, et si nous sentons en nègres, nous nous exprimons en français, parce que le français est une langue à vocation universelle, que notre message s'adresse aussi aux Français et aux autres hommes…” "…le français nous a fait don de ses mots abstraits -si rares dans nos langues maternelles. Chez nous les mots sont naturellement nimbés d'un halo de sève et de </w:t>
      </w:r>
      <w:r w:rsidR="00EC2174" w:rsidRPr="00E97E0B">
        <w:rPr>
          <w:rFonts w:ascii="Times" w:hAnsi="Times"/>
          <w:i/>
          <w:iCs/>
        </w:rPr>
        <w:t>sang; les</w:t>
      </w:r>
      <w:r w:rsidRPr="00E97E0B">
        <w:rPr>
          <w:rFonts w:ascii="Times" w:hAnsi="Times"/>
          <w:i/>
          <w:iCs/>
        </w:rPr>
        <w:t xml:space="preserve"> mots du français eux rayonnent de mille feux, comme des diamants. Des fusées qui éclairent notre nuit… " </w:t>
      </w:r>
      <w:r w:rsidRPr="00E97E0B">
        <w:rPr>
          <w:rFonts w:ascii="Times" w:hAnsi="Times"/>
        </w:rPr>
        <w:t>(Konuşma Metninin Transkripsiyonu ve çevirisi araştırmacı tarafından yapılmıştır).</w:t>
      </w:r>
    </w:p>
  </w:footnote>
  <w:footnote w:id="286">
    <w:p w14:paraId="79F24434" w14:textId="062A734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xml:space="preserve">, </w:t>
      </w:r>
      <w:r w:rsidRPr="00E97E0B">
        <w:rPr>
          <w:rFonts w:ascii="Times" w:hAnsi="Times"/>
          <w:i/>
          <w:iCs/>
        </w:rPr>
        <w:t>“…</w:t>
      </w:r>
      <w:r w:rsidRPr="00E97E0B">
        <w:rPr>
          <w:rFonts w:ascii="Times" w:eastAsia="Times New Roman" w:hAnsi="Times" w:cs="Times New Roman"/>
          <w:i/>
          <w:iCs/>
        </w:rPr>
        <w:t xml:space="preserve">Ce grand poète et ce grand Africain voulait que l'Afrique se mit à parler à toute l'humanité et lui écrivait en français des poèmes pour tous les hommes” </w:t>
      </w:r>
      <w:r w:rsidRPr="00E97E0B">
        <w:rPr>
          <w:rFonts w:ascii="Times" w:hAnsi="Times"/>
        </w:rPr>
        <w:t>(Konuşma Metninin Transkripsiyonu ve çevirisi araştırmacı tarafından yapılmıştır).</w:t>
      </w:r>
    </w:p>
  </w:footnote>
  <w:footnote w:id="287">
    <w:p w14:paraId="5E2F81CA" w14:textId="1F9C8135"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53" w:name="_Hlk119273877"/>
      <w:r w:rsidRPr="00E97E0B">
        <w:rPr>
          <w:rFonts w:ascii="Times" w:hAnsi="Times"/>
        </w:rPr>
        <w:t xml:space="preserve">Liêm-Khê Luguern, “La représentation des immigrants, Des immigrants en représentation? Le cas des Asiatiques, Vietnamiens en particulier,” </w:t>
      </w:r>
      <w:r w:rsidRPr="00E97E0B">
        <w:rPr>
          <w:rFonts w:ascii="Times" w:hAnsi="Times"/>
          <w:i/>
          <w:iCs/>
        </w:rPr>
        <w:t>Hommes &amp; Migrations,</w:t>
      </w:r>
      <w:r w:rsidRPr="00E97E0B">
        <w:rPr>
          <w:rFonts w:ascii="Times" w:hAnsi="Times"/>
        </w:rPr>
        <w:t xml:space="preserve"> (Musée national de l'histoire de l'immigration Yayınevi, 2016), 141-145, https://doi.org.10.4000/hommesmigrations.3694 </w:t>
      </w:r>
      <w:bookmarkEnd w:id="153"/>
    </w:p>
  </w:footnote>
  <w:footnote w:id="288">
    <w:p w14:paraId="5F9308CF" w14:textId="104F846F"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INSEE, “L'essentiel sur... les immigrés et les étrangers.”</w:t>
      </w:r>
    </w:p>
  </w:footnote>
  <w:footnote w:id="289">
    <w:p w14:paraId="26C5D2A7" w14:textId="3058173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“Déclaration de M. Nicolas Sarkozy, Président de la République, sur les relations franco-chinoises et franco-asiatiques, à Paris, le 16 février 2010,”</w:t>
      </w:r>
      <w:r w:rsidRPr="00E97E0B">
        <w:t xml:space="preserve"> Collection des discours publics, Vie Publique, </w:t>
      </w:r>
      <w:r w:rsidRPr="00E97E0B">
        <w:rPr>
          <w:rFonts w:ascii="Times" w:hAnsi="Times"/>
        </w:rPr>
        <w:t>[</w:t>
      </w:r>
      <w:r w:rsidRPr="00E97E0B">
        <w:t>Erişim 17.04.2022</w:t>
      </w:r>
      <w:r w:rsidRPr="00E97E0B">
        <w:rPr>
          <w:rFonts w:ascii="Times" w:hAnsi="Times"/>
        </w:rPr>
        <w:t>],</w:t>
      </w:r>
      <w:r w:rsidRPr="00E97E0B">
        <w:t xml:space="preserve"> </w:t>
      </w:r>
      <w:r w:rsidRPr="00E97E0B">
        <w:rPr>
          <w:rFonts w:ascii="Times" w:hAnsi="Times"/>
        </w:rPr>
        <w:t xml:space="preserve">https://www.vie-publique.fr/discours/178215-declaration-de-m-nicolas-sarkozy-president-de-la-republique-sur-les-r </w:t>
      </w:r>
      <w:r w:rsidRPr="00E97E0B">
        <w:rPr>
          <w:rFonts w:ascii="Times" w:hAnsi="Times"/>
          <w:i/>
          <w:iCs/>
        </w:rPr>
        <w:t>“…Ces liens entre la France et l'Asie, ils se constituent aussi par les milliers de fils invisibles qui relient les Français d'origine asiatique à leur famille et à leurs terres ancestrales. Vous représentez aujourd'hui les communautés asiatiques de France, vous avez souvent conservé des liens forts avec vos proches restés en Asie. C'est un atout qui doit être davantage mis à profit pour tisser une nouvelle proximité entre la France et l'Asie. Ces cérémonies du Nouvel an sont importantes pour notre pays parce que la communauté asiatique joue un grand rôle dans notre Histoire, dans notre identité, dans notre pays… …Et vous, chers amis, chers compatriotes d'origine asiatique, ne reniez pas vos origines, votre culture, vos racines, vos liens car c'est autant de fils entre le France et l'Asie dont nous avons besoin. Soyez assurés que la France est heureuse et fière de vous compter sur notre territoire et de vous avoir comme compatriotes…”</w:t>
      </w:r>
      <w:r w:rsidRPr="00E97E0B">
        <w:rPr>
          <w:rFonts w:ascii="Times" w:hAnsi="Times"/>
        </w:rPr>
        <w:t xml:space="preserve">  (Konuşma Metninin Transkripsiyonu ve çevirisi araştırmacı tarafından yapılmıştır).</w:t>
      </w:r>
    </w:p>
  </w:footnote>
  <w:footnote w:id="290">
    <w:p w14:paraId="0E2F2843" w14:textId="7D7F115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54" w:name="_Hlk119273969"/>
      <w:r w:rsidR="004671D2">
        <w:rPr>
          <w:rFonts w:ascii="Times" w:hAnsi="Times"/>
        </w:rPr>
        <w:t>Ibid.</w:t>
      </w:r>
      <w:r w:rsidRPr="00E97E0B">
        <w:rPr>
          <w:rFonts w:ascii="Times" w:hAnsi="Times"/>
        </w:rPr>
        <w:t xml:space="preserve">, </w:t>
      </w:r>
      <w:bookmarkEnd w:id="154"/>
      <w:r w:rsidRPr="00E97E0B">
        <w:rPr>
          <w:rFonts w:ascii="Times" w:hAnsi="Times"/>
          <w:i/>
          <w:iCs/>
        </w:rPr>
        <w:t>“...Au siècle dernier, différentes générations d'immigrés venus d'Asie ont apporté un dynamisme et une volonté de construire un nouvel avenir avec nous. En vous appropriant les valeurs de notre République, par l'école, par le travail, vous êtes, mes chers amis, devenus les modèles d'une intégration réussie. Vous qui êtes Français venus d'Asie, ou dont les parents sont nés en Asie, vous faites partie des forces vives de notre pays. Chacun dans votre domaine, vous incarnez la valeur travail qui m'est chère et dont la réhabilitation est la condition d'une intégration pleinement réussie. Innombrables sont mes amis asiatiques en France devenus Français et je dois confesser mon admiration pour la capacité dont vous faites preuve, chaque jour, à vous intégrer, à être aimés et appréciés de la communauté nationale que vous rejoignez. Mon admiration pour votre réussite aussi, dont de nombreuses familles peuvent témoigner. Je dois confesser que si je m'étais moi-même retrouvé au Cambodge, au Vietnam, en Chine, il n'est pas évident que j'aurai su en quelques années maîtriser la langue, maîtriser les us et les coutumes et réussir comme tant de nos compatriotes l'ont fait. Je dois vous dire que la communauté nationale vous apprécie, vous respecte, admire vos parcours de réussite, votre courage.”</w:t>
      </w:r>
      <w:bookmarkStart w:id="155" w:name="_Hlk119274052"/>
      <w:r w:rsidRPr="00E97E0B">
        <w:rPr>
          <w:rFonts w:ascii="Times" w:hAnsi="Times"/>
        </w:rPr>
        <w:t>(Konuşma Metninin Transkripsiyonu ve çevirisi araştırmacı tarafından yapılmıştır).</w:t>
      </w:r>
      <w:bookmarkEnd w:id="155"/>
    </w:p>
  </w:footnote>
  <w:footnote w:id="291">
    <w:p w14:paraId="422852C7" w14:textId="436EE61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57" w:name="_Hlk119274033"/>
      <w:r w:rsidRPr="00E97E0B">
        <w:rPr>
          <w:rFonts w:ascii="Times" w:hAnsi="Times"/>
        </w:rPr>
        <w:t>“Classement des Etats du Monde par nombre de juifs,” Atlasocio, 11.03.2021, [Erişim: 11.03.2022], https://atlasocio.com/classements/religions/judaisme/classement-etats-par-adherents-judaisme-nombre-monde.php</w:t>
      </w:r>
      <w:bookmarkEnd w:id="157"/>
    </w:p>
  </w:footnote>
  <w:footnote w:id="292">
    <w:p w14:paraId="1FFC7E3A" w14:textId="79CE806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58" w:name="_Hlk119274012"/>
      <w:r w:rsidRPr="00E97E0B">
        <w:rPr>
          <w:rFonts w:ascii="Times" w:hAnsi="Times"/>
        </w:rPr>
        <w:t xml:space="preserve">Jean-Yves Camus, “La France, Israel et les juifs français,” </w:t>
      </w:r>
      <w:r w:rsidRPr="00E97E0B">
        <w:rPr>
          <w:rFonts w:ascii="Times" w:hAnsi="Times"/>
          <w:i/>
          <w:iCs/>
        </w:rPr>
        <w:t>Revue Internationale et Stratégique</w:t>
      </w:r>
      <w:r w:rsidRPr="00E97E0B">
        <w:rPr>
          <w:rFonts w:ascii="Times" w:hAnsi="Times"/>
        </w:rPr>
        <w:t xml:space="preserve">, c. 1 s. 77, (2010), 151, 155. </w:t>
      </w:r>
      <w:bookmarkEnd w:id="158"/>
    </w:p>
  </w:footnote>
  <w:footnote w:id="293">
    <w:p w14:paraId="34833A0F" w14:textId="19F7C21D" w:rsidR="003C2413" w:rsidRPr="00E97E0B" w:rsidRDefault="003C2413" w:rsidP="002858AE">
      <w:pPr>
        <w:pStyle w:val="DipnotMetni1"/>
        <w:spacing w:before="0" w:after="0" w:line="240" w:lineRule="auto"/>
        <w:rPr>
          <w:rFonts w:ascii="Times" w:hAnsi="Times"/>
          <w:i/>
          <w:iCs/>
        </w:rPr>
      </w:pPr>
      <w:r w:rsidRPr="00E97E0B">
        <w:rPr>
          <w:rStyle w:val="FootnoteReference"/>
          <w:rFonts w:ascii="Times" w:hAnsi="Times"/>
        </w:rPr>
        <w:footnoteRef/>
      </w:r>
      <w:r w:rsidRPr="00E97E0B">
        <w:rPr>
          <w:rFonts w:ascii="Times" w:hAnsi="Times"/>
        </w:rPr>
        <w:t xml:space="preserve"> “Discours de Nicolas Sarkozy au dîner annuel du CRIF le 13 février 2008,” Politique, Le Monde, [Erişim: 15.04.2022], https://www.lemonde.fr/politique/article/2008/04/28/discours-de-nicolas-sarkozy-au-diner-annuel-du-crif-le-13-fevrier-2008_1038752_823448.html </w:t>
      </w:r>
      <w:r w:rsidRPr="00E97E0B">
        <w:rPr>
          <w:rFonts w:ascii="Times" w:hAnsi="Times"/>
          <w:i/>
          <w:iCs/>
        </w:rPr>
        <w:t xml:space="preserve">“…cette France qui vous a émancipés, qui vous a donné des droits, qui vous a permis de pratiquer votre religion. Nous célébrerons ensemble cette année le bicentenaire de la création du Consistoire ; cette République qui vous a ensuite intégrés dans toutes les sphères de la société, sur le seul fondement de vos talents et de vos mérites ; cette République que vous avez servie avec la générosité, la confiance, et l'engagement qui sont l'âme des vrais patriotes ; cette République qui, en inventant la laïcité, vous permet d'être à la fois profondément juif et Français de tout coeur…” </w:t>
      </w:r>
      <w:r w:rsidRPr="00E97E0B">
        <w:rPr>
          <w:rFonts w:ascii="Times" w:hAnsi="Times"/>
        </w:rPr>
        <w:t>(Konuşma Metninin Transkripsiyonu ve çevirisi araştırmacı tarafından yapılmıştır).</w:t>
      </w:r>
    </w:p>
  </w:footnote>
  <w:footnote w:id="294">
    <w:p w14:paraId="295713C3" w14:textId="2F832A7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i/>
          <w:iCs/>
        </w:rPr>
        <w:footnoteRef/>
      </w:r>
      <w:r w:rsidRPr="00E97E0B">
        <w:rPr>
          <w:rFonts w:ascii="Times" w:hAnsi="Times"/>
          <w:i/>
          <w:iCs/>
        </w:rPr>
        <w:t xml:space="preserve"> </w:t>
      </w:r>
      <w:r w:rsidR="004671D2">
        <w:rPr>
          <w:rFonts w:ascii="Times" w:hAnsi="Times"/>
          <w:iCs/>
        </w:rPr>
        <w:t>Ibid.</w:t>
      </w:r>
      <w:r w:rsidRPr="00E97E0B">
        <w:rPr>
          <w:rFonts w:ascii="Times" w:hAnsi="Times"/>
          <w:iCs/>
        </w:rPr>
        <w:t>,</w:t>
      </w:r>
      <w:r w:rsidRPr="00E97E0B">
        <w:rPr>
          <w:rFonts w:ascii="Times" w:hAnsi="Times"/>
          <w:i/>
          <w:iCs/>
        </w:rPr>
        <w:t xml:space="preserve"> “…vous avez eu la gentillesse de rappeler que je m'étais défini comme un ami d'Israël à une époque où il valait mieux éviter ce genre de déclarations. Voyez-vous, à cette époque déjà, j'exprimais mes convictions avec la même sincérité que celle que je mets aujourd'hui pour parler de la laïcité. Oui, c'est vrai, je suis un ami d'Israël et j'attache une grande importance au resserrement des liens politiques, d'amitié et de coopération entre nos deux pays…”</w:t>
      </w:r>
      <w:r w:rsidRPr="00E97E0B">
        <w:rPr>
          <w:rFonts w:ascii="Times" w:hAnsi="Times"/>
        </w:rPr>
        <w:t xml:space="preserve"> (Konuşma Metninin Transkripsiyonu ve çevirisi araştırmacı tarafından yapılmıştır).</w:t>
      </w:r>
    </w:p>
  </w:footnote>
  <w:footnote w:id="295">
    <w:p w14:paraId="0C9DF02B" w14:textId="79C6A8CD" w:rsidR="003C2413" w:rsidRPr="00E97E0B" w:rsidRDefault="003C2413" w:rsidP="002858AE">
      <w:pPr>
        <w:pStyle w:val="DipnotMetni1"/>
        <w:spacing w:before="0" w:after="0" w:line="240" w:lineRule="auto"/>
      </w:pPr>
      <w:r w:rsidRPr="00E97E0B">
        <w:rPr>
          <w:rStyle w:val="FootnoteReference"/>
        </w:rPr>
        <w:footnoteRef/>
      </w:r>
      <w:r w:rsidRPr="00E97E0B">
        <w:t xml:space="preserve"> “Discours de Nicolas Sarkozy à Riyad, le 14 janvier 2008,” Politique, Le Monde, 24.04.2008, [Erişim: 13.03.2022], https://www.lemonde.fr/politique/article/2008/04/24/discours-de-nicolas-sarkozy-a-riyad-le-14-janvier-2008_1038207_823448.html </w:t>
      </w:r>
      <w:r w:rsidRPr="00E97E0B">
        <w:rPr>
          <w:i/>
        </w:rPr>
        <w:t>“...En tant que chef d'un Etat qui repose sur le principe de la séparation de l'Eglise et de l'Etat, je n'ai pas à exprimer ma préférence pour une croyance plutôt que pour une autre…”</w:t>
      </w:r>
    </w:p>
  </w:footnote>
  <w:footnote w:id="296">
    <w:p w14:paraId="4FE1423F" w14:textId="13642E1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Le Monde, </w:t>
      </w:r>
      <w:bookmarkStart w:id="159" w:name="_Hlk119274187"/>
      <w:r w:rsidRPr="00E97E0B">
        <w:rPr>
          <w:rFonts w:ascii="Times" w:hAnsi="Times"/>
        </w:rPr>
        <w:t>“Discours de Nicolas Sarkozy au dîner annuel du CRIF le 13 février 2008,”</w:t>
      </w:r>
      <w:bookmarkEnd w:id="159"/>
      <w:r w:rsidRPr="00E97E0B">
        <w:rPr>
          <w:rFonts w:ascii="Times" w:hAnsi="Times"/>
          <w:i/>
          <w:iCs/>
        </w:rPr>
        <w:t>“…</w:t>
      </w:r>
      <w:r w:rsidRPr="00E97E0B">
        <w:rPr>
          <w:rFonts w:ascii="Times" w:eastAsia="Times New Roman" w:hAnsi="Times" w:cs="Times New Roman"/>
          <w:i/>
          <w:iCs/>
        </w:rPr>
        <w:t xml:space="preserve">Le nazisme croyait dans la hiérarchie des races, une proposition radicalement incompatible avec le monothéisme judéo-chrétien…” </w:t>
      </w:r>
      <w:r w:rsidRPr="00E97E0B">
        <w:rPr>
          <w:rFonts w:ascii="Times" w:hAnsi="Times"/>
        </w:rPr>
        <w:t>(Konuşma Metninin Transkripsiyonu ve çevirisi araştırmacı tarafından yapılmıştır).</w:t>
      </w:r>
    </w:p>
  </w:footnote>
  <w:footnote w:id="297">
    <w:p w14:paraId="0FB74FE5" w14:textId="6C247565" w:rsidR="003C2413" w:rsidRPr="00E97E0B" w:rsidRDefault="003C2413" w:rsidP="002858AE">
      <w:pPr>
        <w:pStyle w:val="DipnotMetni1"/>
        <w:spacing w:before="0" w:after="0" w:line="240" w:lineRule="auto"/>
        <w:rPr>
          <w:rFonts w:ascii="Times" w:hAnsi="Times"/>
          <w:i/>
          <w:iC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w:t>
      </w:r>
      <w:r w:rsidRPr="00E97E0B">
        <w:rPr>
          <w:rFonts w:ascii="Times" w:hAnsi="Times"/>
          <w:i/>
          <w:iCs/>
        </w:rPr>
        <w:t xml:space="preserve">Personne ne veut remettre en cause la laïcité. Personne ne veut abîmer ce trésor trop précieux qu'est la neutralité de l'Etat, le respect de toutes les croyances, comme celui de la noncroyance, la liberté de pratiquer comme celle d'être athée… …Et moi, puisque c'est moi qui suis en cause, moins encore qu'un autre…” </w:t>
      </w:r>
      <w:r w:rsidRPr="00E97E0B">
        <w:rPr>
          <w:rFonts w:ascii="Times" w:hAnsi="Times"/>
        </w:rPr>
        <w:t>(Konuşma Metninin Transkripsiyonu ve çevirisi araştırmacı tarafından yapılmıştır).</w:t>
      </w:r>
    </w:p>
  </w:footnote>
  <w:footnote w:id="298">
    <w:p w14:paraId="0680B1FA" w14:textId="44EC1A1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Le Monde, “Discours de Nicolas Sarkozy à Riyad, le 14 janvier 2008,” Politique,” </w:t>
      </w:r>
      <w:r w:rsidRPr="00E97E0B">
        <w:rPr>
          <w:rFonts w:ascii="Times" w:hAnsi="Times"/>
          <w:i/>
          <w:iCs/>
        </w:rPr>
        <w:t>“…Est-ce que cela doit nous interdire pour autant de parler de la religion? Est-ce que cela doit nous aveugler au point d'ignorer qu'il existe à l'évidence, après la fin des idéologies totalitaires et les désillusions de la société de consommation, une immense demande de spiritualité? Est-ce que cela doit nous empêcher de regarder lucidement la situation de l'islam de France? Ne voit-on pas qu'en refusant d'examiner les conséquences pratiques de la présence musulmane en France, on a laissé se développer les attitudes les plus contraires à la laïcité, comme les pratiques vestimentaires ostentatoires et les revendications identitaires? Le principe de laïcité doit-il nous détourner du rôle que nous pouvons jouer, par exemple à Ryad, en faveur du dialogue entre les civilisations, alors que ce dialogue est un enjeu majeur du XXIème siècle? Doit-il me priver du droit de rencontrer des prêtres, des pasteurs, des rabbins, des religieux, pour leur dire que ce qu'ils font au bénéfice des plus pauvres, pour le réconfort des malades, pour l'éducation des jeunes, pour la réinsertion des prisonniers, est tout simplement utile et bien?...”</w:t>
      </w:r>
      <w:r w:rsidRPr="00E97E0B">
        <w:rPr>
          <w:rFonts w:ascii="Times" w:hAnsi="Times"/>
        </w:rPr>
        <w:t xml:space="preserve"> (Konuşma Metninin Transkripsiyonu ve çevirisi araştırmacı tarafından yapılmıştır).</w:t>
      </w:r>
    </w:p>
  </w:footnote>
  <w:footnote w:id="299">
    <w:p w14:paraId="123876A0" w14:textId="6EF6210A" w:rsidR="003C2413" w:rsidRPr="00E97E0B" w:rsidRDefault="003C2413" w:rsidP="002858AE">
      <w:pPr>
        <w:pStyle w:val="DipnotMetni1"/>
        <w:spacing w:before="0" w:after="0" w:line="240" w:lineRule="auto"/>
        <w:rPr>
          <w:rFonts w:ascii="Times" w:hAnsi="Times"/>
          <w:i/>
          <w:iCs/>
        </w:rPr>
      </w:pPr>
      <w:r w:rsidRPr="00E97E0B">
        <w:rPr>
          <w:rStyle w:val="FootnoteReference"/>
          <w:rFonts w:ascii="Times" w:hAnsi="Times"/>
        </w:rPr>
        <w:footnoteRef/>
      </w:r>
      <w:r w:rsidRPr="00E97E0B">
        <w:rPr>
          <w:rFonts w:ascii="Times" w:hAnsi="Times"/>
        </w:rPr>
        <w:t xml:space="preserve"> </w:t>
      </w:r>
      <w:bookmarkStart w:id="160" w:name="_Hlk119274174"/>
      <w:r w:rsidRPr="00E97E0B">
        <w:rPr>
          <w:rFonts w:ascii="Times" w:hAnsi="Times"/>
        </w:rPr>
        <w:t xml:space="preserve">“Déclaration de M. Nicolas Sarkozy, Président de la République, sur les relations franco-israéliennes, à Jérusalem le 23 juin 2008.” Collection des Discours Publics, Vie Publique, [Erişim: 20.04.2022] https://www.vie-publique.fr/discours/171327-declaration-de-m-nicolas-sarkozy-president-de-la-republique-sur-les-r </w:t>
      </w:r>
      <w:bookmarkEnd w:id="160"/>
      <w:r w:rsidRPr="00E97E0B">
        <w:rPr>
          <w:rFonts w:ascii="Times" w:hAnsi="Times"/>
          <w:i/>
          <w:iCs/>
        </w:rPr>
        <w:t xml:space="preserve">“…Vous avez fait le choix d'Israël, tout en restant également, je le sais, farouchement français. Votre double fidélité est une chance, une richesse pour la France. Et personne n'a à vous reprocher cette fidélité. C'est par conviction, et non parce qu'on se sentirait mal en France, qu'on doit pouvoir faire le choix d'Israël aujourd'hui. Je sais que cela n'a pas toujours été le cas. Je sais que certains ont fait le choix de partir parce qu'ils percevaient en France une montée de l'antisémitisme. Je veux que l'on en parle franchement. Il ne faut pas avoir peur. L'antisémitisme, ça ne s'explique pas, ça se combat. Et cette lutte, je vous le dis, ne faiblira pas. Et je suis particulièrement choqué de ce qui est arrivé à un jeune Français il y a quelques jours, sous le seul prétexte qu'il portait une kippa. Une bande de voyous l'a agressé…” </w:t>
      </w:r>
      <w:r w:rsidRPr="00E97E0B">
        <w:rPr>
          <w:rFonts w:ascii="Times" w:hAnsi="Times"/>
        </w:rPr>
        <w:t>(Konuşma Metninin Transkripsiyonu ve çevirisi araştırmacı tarafından yapılmıştır).</w:t>
      </w:r>
    </w:p>
  </w:footnote>
  <w:footnote w:id="300">
    <w:p w14:paraId="1B2B9173" w14:textId="13A100A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61" w:name="_Hlk119274165"/>
      <w:r w:rsidRPr="00E97E0B">
        <w:rPr>
          <w:rFonts w:ascii="Times" w:hAnsi="Times"/>
        </w:rPr>
        <w:t xml:space="preserve">“The Jewish Federation of Greater Los Angeles’ Principles Against Antisemitism,” The Jewish Federation of Greater Los Angeles’  [Erişim: 22.2.2022], https://www.jewishla.org/principles-against-antisemitism/ </w:t>
      </w:r>
      <w:bookmarkEnd w:id="161"/>
    </w:p>
  </w:footnote>
  <w:footnote w:id="301">
    <w:p w14:paraId="71779A87" w14:textId="70715CB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“Jean-François Kahn accuse Nicolas Sarkozy: le voyou de la République!” </w:t>
      </w:r>
      <w:r w:rsidRPr="00E97E0B">
        <w:rPr>
          <w:rFonts w:ascii="Times" w:hAnsi="Times"/>
          <w:i/>
          <w:iCs/>
        </w:rPr>
        <w:t>Agora Vox</w:t>
      </w:r>
      <w:r w:rsidRPr="00E97E0B">
        <w:rPr>
          <w:rFonts w:ascii="Times" w:hAnsi="Times"/>
        </w:rPr>
        <w:t>, 10.08.2010, https://www.agoravox.fr/actualites/politique/article/jean-francois-kahn-accuse-nicolas-79688 [Erişim: 22.2.2022].</w:t>
      </w:r>
    </w:p>
  </w:footnote>
  <w:footnote w:id="302">
    <w:p w14:paraId="14701E43" w14:textId="7181B96E"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“Déclaration de M. Nicolas Sarkozy, Président de la République, sur les relations franco-israéliennes, à Jérusalem le 23 juin 2008.” Vie Publique, </w:t>
      </w:r>
      <w:r w:rsidRPr="00E97E0B">
        <w:rPr>
          <w:rFonts w:ascii="Times" w:hAnsi="Times"/>
          <w:i/>
          <w:iCs/>
        </w:rPr>
        <w:t xml:space="preserve">“…les éléments constitutifs de nos deux pays se sont mêlés: il y a un peu d'Israël en France et il y a un peu de France en Israël. Les Français qui ont fait le choix de vivre et de travailler en Israël sont, avec la communauté juive de France, des passeurs, des vecteurs privilégiés de l'attraction mutuelle si forte qui existe entre nos deux pays…” </w:t>
      </w:r>
      <w:r w:rsidRPr="00E97E0B">
        <w:rPr>
          <w:rFonts w:ascii="Times" w:hAnsi="Times"/>
        </w:rPr>
        <w:t>(Konuşma Metninin Transkripsiyonu ve çevirisi araştırmacı tarafından yapılmıştır).</w:t>
      </w:r>
    </w:p>
  </w:footnote>
  <w:footnote w:id="303">
    <w:p w14:paraId="2C45B580" w14:textId="3A659A1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62" w:name="_Hlk119274339"/>
      <w:r w:rsidRPr="00E97E0B">
        <w:rPr>
          <w:rFonts w:ascii="Times" w:hAnsi="Times"/>
        </w:rPr>
        <w:t xml:space="preserve">“Deux mille ans de présence juive en France,” </w:t>
      </w:r>
      <w:r w:rsidRPr="00E97E0B">
        <w:rPr>
          <w:rFonts w:ascii="Times" w:hAnsi="Times"/>
          <w:i/>
          <w:iCs/>
        </w:rPr>
        <w:t>Le Monde Juif</w:t>
      </w:r>
      <w:r w:rsidRPr="00E97E0B">
        <w:rPr>
          <w:rFonts w:ascii="Times" w:hAnsi="Times"/>
        </w:rPr>
        <w:t>, c. 144, s. 1, (1992), 17-42.</w:t>
      </w:r>
      <w:bookmarkEnd w:id="162"/>
    </w:p>
  </w:footnote>
  <w:footnote w:id="304">
    <w:p w14:paraId="0950BC15" w14:textId="6E77562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“Déclaration de M. Nicolas Sarkozy, Président de la République, sur les relations franco-israéliennes, à Jérusalem le 23 juin 2008.” Vie Publique, </w:t>
      </w:r>
      <w:r w:rsidRPr="00E97E0B">
        <w:rPr>
          <w:rFonts w:ascii="Times" w:hAnsi="Times"/>
          <w:i/>
          <w:iCs/>
        </w:rPr>
        <w:t>“…Je veux dire ici…De dire que cette paix passe par la création d'un Etat palestinien moderne et souverain, viable et démocratique, vivant côte à côte en paix et en sécurité avec Israël, un Etat palestinien dont l'existence est même l'une des conditions majeures de la sécurité à long terme d'Israël! On va travailler à la sécurité et à la paix…”</w:t>
      </w:r>
      <w:r w:rsidRPr="00E97E0B">
        <w:rPr>
          <w:rFonts w:ascii="Times" w:hAnsi="Times"/>
        </w:rPr>
        <w:t xml:space="preserve"> (Konuşma Metninin Transkripsiyonu ve çevirisi araştırmacı tarafından yapılmıştır).</w:t>
      </w:r>
    </w:p>
  </w:footnote>
  <w:footnote w:id="305">
    <w:p w14:paraId="794C172A" w14:textId="20F4CEF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Yves Aubin de La Messuzière, “Pour l’Europe et la France, le conflit israélo-palestinien est devenu secondaire,” </w:t>
      </w:r>
      <w:r w:rsidRPr="00E97E0B">
        <w:rPr>
          <w:rFonts w:ascii="Times" w:hAnsi="Times"/>
          <w:i/>
          <w:iCs/>
        </w:rPr>
        <w:t>Confluence Méditerannée</w:t>
      </w:r>
      <w:r w:rsidRPr="00E97E0B">
        <w:rPr>
          <w:rFonts w:ascii="Times" w:hAnsi="Times"/>
        </w:rPr>
        <w:t>, c. 1</w:t>
      </w:r>
      <w:r w:rsidR="00EC2174" w:rsidRPr="00E97E0B">
        <w:rPr>
          <w:rFonts w:ascii="Times" w:hAnsi="Times"/>
        </w:rPr>
        <w:t>, s</w:t>
      </w:r>
      <w:r w:rsidRPr="00E97E0B">
        <w:rPr>
          <w:rFonts w:ascii="Times" w:hAnsi="Times"/>
        </w:rPr>
        <w:t>. 96, (2016), 66,67.</w:t>
      </w:r>
    </w:p>
  </w:footnote>
  <w:footnote w:id="306">
    <w:p w14:paraId="7721A688" w14:textId="08B77ED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64" w:name="_Hlk119274415"/>
      <w:r w:rsidRPr="00E97E0B">
        <w:rPr>
          <w:rFonts w:ascii="Times" w:hAnsi="Times"/>
        </w:rPr>
        <w:t xml:space="preserve">“Qui sont vraiment les Roms de France?” CNRS Le Journal, 18.09.2017, [Erişim: 25.04.2022], https://lejournal.cnrs.fr/articles/qui-sont-vraiment-les-roms-de-france </w:t>
      </w:r>
      <w:bookmarkEnd w:id="164"/>
    </w:p>
  </w:footnote>
  <w:footnote w:id="307">
    <w:p w14:paraId="60FEAE68" w14:textId="1B1E9A5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“Déclaration de M. Nicolas Sarkozy, Président de la République, sur la lutte contre la criminalité,” la délinquance et l'immigration illégale, à Grenoble le 30 juillet 2010,” Collection des Discours Publics, Vie Publique, [Erişim: 25.04.2022] https://www.vie-publique.fr/discours/179722-nicolas-sarkozy-30072010-criminalite-delinquance-immigration-illegale </w:t>
      </w:r>
      <w:r w:rsidRPr="00E97E0B">
        <w:rPr>
          <w:rFonts w:ascii="Times" w:hAnsi="Times"/>
          <w:i/>
          <w:iCs/>
        </w:rPr>
        <w:t>“…La règle générale est claire: les clandestins doivent être reconduits dans leur pays. Et c'est dans cet esprit d'ailleurs que j'ai demandé au ministre de l'Intérieur de mettre un terme aux implantations sauvages de campements de Roms. Ce sont des zones de non-droit qu'on ne peut pas tolérer en France. Il ne s'agit pas de stigmatiser les Roms, en aucun cas. Nous avons fait depuis la loi Besson de grands progrès pour les aires mises à leur disposition. Lorsque je suis devenu ministre de l'Intérieur en 2002, moins de 20% des aires de stationnement étaient prévues. J'ai fait le point avec le ministre. Aujourd'hui plus de 60% des aires de stationnement légales sont prévues. Les Roms qui viendraient en France pour s'installer sur des emplacements légaux sont les bienvenus. Mais en tant que chef de l'Etat, puis-je accepter qu'il y ait 539 campements illégaux en 2010 en France? Qui peut l'accepter ?...”</w:t>
      </w:r>
      <w:r w:rsidRPr="00E97E0B">
        <w:t xml:space="preserve"> </w:t>
      </w:r>
      <w:r w:rsidRPr="00E97E0B">
        <w:rPr>
          <w:rFonts w:ascii="Times" w:hAnsi="Times"/>
        </w:rPr>
        <w:t>(Konuşma Metninin Transkripsiyonu ve çevirisi araştırmacı tarafından yapılmıştır).</w:t>
      </w:r>
    </w:p>
  </w:footnote>
  <w:footnote w:id="308">
    <w:p w14:paraId="2575C77D" w14:textId="436BEF4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“L’élection présidentielle,” </w:t>
      </w:r>
      <w:bookmarkStart w:id="166" w:name="_Hlk119274480"/>
      <w:r w:rsidRPr="00E97E0B">
        <w:rPr>
          <w:rFonts w:ascii="Times" w:hAnsi="Times"/>
        </w:rPr>
        <w:t xml:space="preserve">Les différentes élections, interieur.gouv.fr, [Erişim: 01.02.2022], https://mobile.interieur.gouv.fr/Archives/Archives-elections/Les-elections-en-France/Les-differentes-elections </w:t>
      </w:r>
      <w:bookmarkEnd w:id="166"/>
    </w:p>
  </w:footnote>
  <w:footnote w:id="309">
    <w:p w14:paraId="3272DBFB" w14:textId="600DD4C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67" w:name="_Hlk119274554"/>
      <w:r w:rsidRPr="00E97E0B">
        <w:rPr>
          <w:rFonts w:ascii="Times" w:hAnsi="Times"/>
        </w:rPr>
        <w:t xml:space="preserve">Michael Roskin, </w:t>
      </w:r>
      <w:r w:rsidRPr="00E97E0B">
        <w:rPr>
          <w:rFonts w:ascii="Times" w:hAnsi="Times"/>
          <w:i/>
          <w:iCs/>
        </w:rPr>
        <w:t>Countries and Concepts: Politics, Geography, Culture</w:t>
      </w:r>
      <w:r w:rsidRPr="00E97E0B">
        <w:rPr>
          <w:rFonts w:ascii="Times" w:hAnsi="Times"/>
        </w:rPr>
        <w:t>, 12. bs. (</w:t>
      </w:r>
      <w:r w:rsidR="00EC2174" w:rsidRPr="00E97E0B">
        <w:rPr>
          <w:rFonts w:ascii="Times" w:hAnsi="Times"/>
        </w:rPr>
        <w:t xml:space="preserve">London: </w:t>
      </w:r>
      <w:r w:rsidRPr="00E97E0B">
        <w:rPr>
          <w:rFonts w:ascii="Times" w:hAnsi="Times"/>
        </w:rPr>
        <w:t>Pearson</w:t>
      </w:r>
      <w:r w:rsidR="00EC2174" w:rsidRPr="00E97E0B">
        <w:rPr>
          <w:rFonts w:ascii="Times" w:hAnsi="Times"/>
        </w:rPr>
        <w:t xml:space="preserve"> Education</w:t>
      </w:r>
      <w:r w:rsidRPr="00E97E0B">
        <w:rPr>
          <w:rFonts w:ascii="Times" w:hAnsi="Times"/>
        </w:rPr>
        <w:t>, 2015), 89.</w:t>
      </w:r>
      <w:bookmarkEnd w:id="167"/>
    </w:p>
  </w:footnote>
  <w:footnote w:id="310">
    <w:p w14:paraId="7B6DF04A" w14:textId="4DEC1FC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68" w:name="_Hlk119274632"/>
      <w:r w:rsidRPr="00E97E0B">
        <w:rPr>
          <w:rFonts w:ascii="Times" w:hAnsi="Times"/>
        </w:rPr>
        <w:t xml:space="preserve">Bertrand Lemennicier, Hororine Lescieux-Katir ve Bernard Grofman, “The 2007 French Presidential Election” </w:t>
      </w:r>
      <w:r w:rsidRPr="00E97E0B">
        <w:rPr>
          <w:rFonts w:ascii="Times" w:hAnsi="Times"/>
          <w:i/>
          <w:iCs/>
        </w:rPr>
        <w:t>Canadian Journal of Political Science,</w:t>
      </w:r>
      <w:r w:rsidRPr="00E97E0B">
        <w:rPr>
          <w:rFonts w:ascii="Times" w:hAnsi="Times"/>
        </w:rPr>
        <w:t xml:space="preserve"> c. 43, s. 1 (2010), 137-161.</w:t>
      </w:r>
      <w:bookmarkEnd w:id="168"/>
    </w:p>
  </w:footnote>
  <w:footnote w:id="311">
    <w:p w14:paraId="43A84B5B" w14:textId="7777777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69" w:name="_Hlk119274645"/>
      <w:r w:rsidRPr="00E97E0B">
        <w:rPr>
          <w:rFonts w:ascii="Times" w:hAnsi="Times"/>
        </w:rPr>
        <w:t xml:space="preserve">Sébastien Repaire, “Les verts, la gauche et le parti socialiste: Entre convergences et malentendus,” 24.02.2020, </w:t>
      </w:r>
      <w:r w:rsidRPr="00E97E0B">
        <w:rPr>
          <w:rFonts w:ascii="Times" w:hAnsi="Times"/>
          <w:i/>
          <w:iCs/>
        </w:rPr>
        <w:t>Fondation Jean Jaurès</w:t>
      </w:r>
      <w:r w:rsidRPr="00E97E0B">
        <w:rPr>
          <w:rFonts w:ascii="Times" w:hAnsi="Times"/>
        </w:rPr>
        <w:t>.</w:t>
      </w:r>
      <w:bookmarkEnd w:id="169"/>
    </w:p>
  </w:footnote>
  <w:footnote w:id="312">
    <w:p w14:paraId="2A5FC14B" w14:textId="708746D9"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70" w:name="_Hlk119274617"/>
      <w:r w:rsidRPr="00E97E0B">
        <w:rPr>
          <w:rFonts w:ascii="Times" w:hAnsi="Times"/>
        </w:rPr>
        <w:t xml:space="preserve">Vincent Tiberj, “La politique des deux axes: Variables sociologiques, valeurs et votes en France (1988-2007).” </w:t>
      </w:r>
      <w:r w:rsidRPr="00E97E0B">
        <w:rPr>
          <w:rFonts w:ascii="Times" w:hAnsi="Times"/>
          <w:i/>
          <w:iCs/>
        </w:rPr>
        <w:t>Revue Française de Science Politique</w:t>
      </w:r>
      <w:r w:rsidRPr="00E97E0B">
        <w:rPr>
          <w:rFonts w:ascii="Times" w:hAnsi="Times"/>
        </w:rPr>
        <w:t xml:space="preserve"> c. 62, s. 1 (2012), 73,74.</w:t>
      </w:r>
      <w:bookmarkEnd w:id="170"/>
    </w:p>
  </w:footnote>
  <w:footnote w:id="313">
    <w:p w14:paraId="36872EEA" w14:textId="024703B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“Discours de Nicolas Sarkozy à Bordeaux,” Youtube,</w:t>
      </w:r>
      <w:r w:rsidRPr="00E97E0B">
        <w:rPr>
          <w:rFonts w:ascii="Times" w:hAnsi="Times"/>
          <w:i/>
          <w:iCs/>
        </w:rPr>
        <w:t xml:space="preserve">“…La république ce n’est pas l’égalitarisme ce n’est pas le nivellement c’est la liberté par l’égalité des droits et par l’égalité des chances, c’est la liberté par le mérite par le travail et par le talent. L’égalité d’ailleurs c’est le refus que des groupes des communautés, des minorités et des droits différents des autres…” </w:t>
      </w:r>
      <w:r w:rsidRPr="00E97E0B">
        <w:rPr>
          <w:rFonts w:ascii="Times" w:hAnsi="Times"/>
        </w:rPr>
        <w:t>(Tekrar kullanılan bir bölüm)</w:t>
      </w:r>
    </w:p>
  </w:footnote>
  <w:footnote w:id="314">
    <w:p w14:paraId="7B1FAA96" w14:textId="0B111EA2"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72" w:name="_Hlk119274798"/>
      <w:r w:rsidRPr="00E97E0B">
        <w:rPr>
          <w:rFonts w:ascii="Times" w:hAnsi="Times"/>
        </w:rPr>
        <w:t xml:space="preserve">Michel Winock, </w:t>
      </w:r>
      <w:r w:rsidRPr="00E97E0B">
        <w:rPr>
          <w:rFonts w:ascii="Times" w:hAnsi="Times"/>
          <w:i/>
          <w:iCs/>
        </w:rPr>
        <w:t>Les figures de proue de la gauche depuis 1789</w:t>
      </w:r>
      <w:r w:rsidRPr="00E97E0B">
        <w:rPr>
          <w:rFonts w:ascii="Times" w:hAnsi="Times"/>
        </w:rPr>
        <w:t>, (</w:t>
      </w:r>
      <w:r w:rsidR="00EC2174" w:rsidRPr="00E97E0B">
        <w:rPr>
          <w:rFonts w:ascii="Times" w:hAnsi="Times"/>
        </w:rPr>
        <w:t xml:space="preserve">Paris: </w:t>
      </w:r>
      <w:r w:rsidRPr="00E97E0B">
        <w:rPr>
          <w:rFonts w:ascii="Times" w:hAnsi="Times"/>
        </w:rPr>
        <w:t>Perrin, 2019), 529, 531, 532.</w:t>
      </w:r>
      <w:bookmarkEnd w:id="172"/>
    </w:p>
  </w:footnote>
  <w:footnote w:id="315">
    <w:p w14:paraId="08E025B2" w14:textId="65326B2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 xml:space="preserve">, 532, </w:t>
      </w:r>
    </w:p>
  </w:footnote>
  <w:footnote w:id="316">
    <w:p w14:paraId="1A12D20B" w14:textId="002225D9" w:rsidR="003C2413" w:rsidRPr="00E97E0B" w:rsidRDefault="003C2413" w:rsidP="002858AE">
      <w:pPr>
        <w:pStyle w:val="DipnotMetni1"/>
        <w:spacing w:before="0" w:after="0" w:line="240" w:lineRule="auto"/>
        <w:rPr>
          <w:rFonts w:ascii="Times" w:hAnsi="Times"/>
          <w:i/>
          <w:iCs/>
        </w:rPr>
      </w:pPr>
      <w:r w:rsidRPr="00E97E0B">
        <w:rPr>
          <w:rStyle w:val="FootnoteReference"/>
          <w:rFonts w:ascii="Times" w:hAnsi="Times"/>
        </w:rPr>
        <w:footnoteRef/>
      </w:r>
      <w:r w:rsidRPr="00E97E0B">
        <w:rPr>
          <w:rFonts w:ascii="Times" w:hAnsi="Times"/>
        </w:rPr>
        <w:t xml:space="preserve"> “Discours de Nicolas Sarkozy à Bordeaux,” Youtube,</w:t>
      </w:r>
      <w:r w:rsidRPr="00E97E0B">
        <w:rPr>
          <w:rFonts w:ascii="Times" w:hAnsi="Times"/>
          <w:i/>
          <w:iCs/>
        </w:rPr>
        <w:t xml:space="preserve"> “… dans la république je voudrais expliquer à un certain nombre de mes compétiteurs, il n’y a pas de place pour la lutte des clans et pour la lutte des classes. La lutte des classes, ce n’est pas la république. Ne vous y trompez pas mes chers concitoyens! Quand on dit je veux faire payer les riches, c’est tout le monde que l’on veut faire payer. Quand on propose un taux d’imposition de 75% pour faire payer les riches et que l’on explique le lendemain -je cite- “cela n’a pas vocation à rapporter un seul euro au budjet de l’Etat.” Je dis que c’est du cynisme. Je dis que c’est une tartufferie! Et que ceux qui disent cela sont des tartufes. Il n’y a pas de place pour le cynisme dans la république française. Parce que le cynisme c’est du mepris, du mepris pour les français. On méprise pas les français quand on aspire à les gouverner mais la folie fiscale dans cette proposition démagogique et la manifestation, elle va coûter à ceux qui ne sont pas riches. La morale de la République ce n’est pas matraquer fiscalement les classes moyennes parce qu’on n’a pas le courage reduire les dépenses pour ne contrarier aucune des clientèles. La clientèle des syndicats ne doivent pas être contrariée. C’est vous les classes moyennes qui allez payer. La clientèle des sydicats ne doivent pas être contrariée c’est vous qui allez payer le refus d’assumer avec courage les propositions d’un de mes compétiteurs dans la république il n’y a pas de place pour le clientalisme. Dans la république on a le droit de faire la grève on a le droit de manifester mais on n’a pas le droit d’empêcher les autres d’aller travailler, on n’a pas l’droit de prendre les autres en otage. On n’a pas le droit de casser, de saboter, de bloquer. Saboter le service public; c’est un scandale qui mérite des sanctions exemplaires. Dans la république le service minimum dans les transports en commun à l’école et dans le transport aérien, c’est un principe éminnement républicain. Quand on est républicain on ne défend pas ceux qui bloquent tout. Quand on est républicain on ne defend pas ceux qui prennent en otage les usagers. Le président de la république ne sert pas des clientèles, le président de la république ne sert pas des corporations. Le président de la république ne sert pas des castes. Le président de la république ne sert l’intérêt général et sert les citoyens quelqu’il soient. Le président de la république n’est pas au service d’un parti. Le président de la république n’est pas au service de la droite. Le président de la république n’est pas au service de la gauche. Il est au service de tous les français quelqu’ils soient. Mieux encore le président de la république, il ne gouverne pas qu’avec ses amis, Le président de la république, il ne nomme pas que ceux qui sont toujours d’accord avec lui. Au contraire il doit confier par sagesse des responsabilités à ceux qui n’ont jamais été ses amis, à ceux qui n’ont jamais toujours été d’accord avec lui. Parce que la république c’est un bien commun et un pays éruptif comme la France a besoin de tolérence d’ouverture et esprit de rassemblement, c’est cela la république. Le président de la république n’exclue pas de l’administration tout ceux qui ne viennent pas de son parti. Nous voilà prévenus! Nous voilà prévenus! Voilà donc que sentons l’odeur d’une fumée légèrement embrumée,- on nous prévient-</w:t>
      </w:r>
      <w:r w:rsidRPr="00E97E0B">
        <w:rPr>
          <w:rFonts w:ascii="Times" w:hAnsi="Times"/>
        </w:rPr>
        <w:t xml:space="preserve"> </w:t>
      </w:r>
      <w:r w:rsidRPr="00E97E0B">
        <w:rPr>
          <w:rFonts w:ascii="Times" w:hAnsi="Times"/>
          <w:i/>
          <w:iCs/>
        </w:rPr>
        <w:t xml:space="preserve">seront licenciés immédiatement tout policier, tout magistrat, tout procureur, tout fonctionnaire tout préfet qui auraient eu quelques connivences avec le gouvernement de la République. Eh bien le président de la république, il a le devoir de ne pas être sectaire, il doit être au-dessus de tout cela. Il doit avoir la sagesse de dire à ses amis: “Nous avons gagné! Nous devons partager et rassembler.” Il doit avoir la sagesse de dire à ses amis: “Nous sommes la majorité, nous devons respecter les autres.” ll doit avoir la sagesse même de dire quand on est président de la république, il est normal d’être critiqué plus que les autres, justement parce qu’on est l’incarnation de la république. Président de la république doit être sage, et je vois qu’après avoir attaquer bassement d’autres compétiteurs, on commence à dénoncer tel ou tel média ou tel ou tel journaliste qui seraient pas dans la bonne ligne. Ça commence avec moi et ça fini avec les autres. Ça promet et ça n’auraient comme seul résultat que de provoquer la mobilisation de cette majorité silencieuse à la quelle je crois tant. Mes chers amis je vais vous rendre la parole. Je veux rendre la parole au peuple pour faire vivre la République” </w:t>
      </w:r>
      <w:r w:rsidRPr="00E97E0B">
        <w:rPr>
          <w:rFonts w:ascii="Times" w:hAnsi="Times"/>
        </w:rPr>
        <w:t>(Konuşma Metninin Transkripsiyonu ve çevirisi araştırmacı tarafından yapılmıştır).</w:t>
      </w:r>
    </w:p>
  </w:footnote>
  <w:footnote w:id="317">
    <w:p w14:paraId="5F10A232" w14:textId="561E8EC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73" w:name="_Hlk119274856"/>
      <w:r w:rsidRPr="00E97E0B">
        <w:rPr>
          <w:rFonts w:ascii="Times" w:hAnsi="Times"/>
        </w:rPr>
        <w:t xml:space="preserve">Une politique fiscale peut-elle être juste? Quelle politique fiscale pour quel choix de société?” MINES Paris Tech, [Erişim: 02.05.2022], https://controverses.minesparis.psl.eu/prive/promo11/promo11_G3/francois-hollande.html </w:t>
      </w:r>
      <w:bookmarkEnd w:id="173"/>
    </w:p>
  </w:footnote>
  <w:footnote w:id="318">
    <w:p w14:paraId="1C2B4CD4" w14:textId="52B737D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EC2174" w:rsidRPr="00E97E0B">
        <w:rPr>
          <w:rFonts w:ascii="Times" w:hAnsi="Times"/>
        </w:rPr>
        <w:t>“</w:t>
      </w:r>
      <w:r w:rsidRPr="00E97E0B">
        <w:rPr>
          <w:rFonts w:ascii="Times" w:hAnsi="Times"/>
        </w:rPr>
        <w:t>Discours de Nicolas Sarkozy à Bordeaux,” Youtube.</w:t>
      </w:r>
    </w:p>
  </w:footnote>
  <w:footnote w:id="319">
    <w:p w14:paraId="442F33BD" w14:textId="3F26BD5B"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p>
  </w:footnote>
  <w:footnote w:id="320">
    <w:p w14:paraId="61E0A184" w14:textId="54F661E1" w:rsidR="003C2413" w:rsidRPr="00E97E0B" w:rsidRDefault="003C2413" w:rsidP="002B40A2">
      <w:pPr>
        <w:pStyle w:val="DipnotMetni1"/>
        <w:spacing w:before="0" w:after="0" w:line="240" w:lineRule="auto"/>
      </w:pPr>
      <w:r w:rsidRPr="00E97E0B">
        <w:rPr>
          <w:rStyle w:val="FootnoteReference"/>
        </w:rPr>
        <w:footnoteRef/>
      </w:r>
      <w:r w:rsidRPr="00E97E0B">
        <w:t xml:space="preserve"> Pierre Bloom, </w:t>
      </w:r>
      <w:r w:rsidRPr="00E97E0B">
        <w:rPr>
          <w:i/>
          <w:iCs/>
        </w:rPr>
        <w:t>Authoritarian Capitalism in the Age of Globalization</w:t>
      </w:r>
      <w:r w:rsidRPr="00E97E0B">
        <w:t xml:space="preserve">, </w:t>
      </w:r>
      <w:r w:rsidR="00EC2174" w:rsidRPr="00E97E0B">
        <w:t xml:space="preserve">(Cheltenham UK: </w:t>
      </w:r>
      <w:r w:rsidRPr="00E97E0B">
        <w:t>E</w:t>
      </w:r>
      <w:r w:rsidR="00EC2174" w:rsidRPr="00E97E0B">
        <w:t>dward Elgar Publishing, 2016)</w:t>
      </w:r>
      <w:r w:rsidRPr="00E97E0B">
        <w:t>, https://doi.org/10.4337/9781784713157, 141-143.</w:t>
      </w:r>
    </w:p>
  </w:footnote>
  <w:footnote w:id="321">
    <w:p w14:paraId="01A12637" w14:textId="7C5F6EBE" w:rsidR="003C2413" w:rsidRPr="00E97E0B" w:rsidRDefault="003C2413" w:rsidP="002B40A2">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EC2174" w:rsidRPr="00E97E0B">
        <w:rPr>
          <w:rFonts w:ascii="Times" w:hAnsi="Times"/>
        </w:rPr>
        <w:t>“</w:t>
      </w:r>
      <w:r w:rsidRPr="00E97E0B">
        <w:rPr>
          <w:rFonts w:ascii="Times" w:hAnsi="Times"/>
        </w:rPr>
        <w:t>Discours de Nicolas Sarkozy à Bordeaux,” Youtube.</w:t>
      </w:r>
    </w:p>
  </w:footnote>
  <w:footnote w:id="322">
    <w:p w14:paraId="1E43B69E" w14:textId="1385E19A"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p>
  </w:footnote>
  <w:footnote w:id="323">
    <w:p w14:paraId="26C18C70" w14:textId="12B97195"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74" w:name="_Hlk119274936"/>
      <w:r w:rsidRPr="00E97E0B">
        <w:rPr>
          <w:rFonts w:ascii="Times" w:hAnsi="Times"/>
        </w:rPr>
        <w:t>Juliette Müller, “Charité et solidarité, deux visions antagonistes,” GaucheHebdo, 21.12.2017, [Erişim: 10.05.2022], https://www.gauchebdo.ch/2017/12/21/charite-solidarite-deux-visions-antagonistes-coeur-rts-pauvrete-aide-sociale/</w:t>
      </w:r>
      <w:bookmarkEnd w:id="174"/>
      <w:r w:rsidRPr="00E97E0B">
        <w:rPr>
          <w:rFonts w:ascii="Times" w:hAnsi="Times"/>
        </w:rPr>
        <w:t>;</w:t>
      </w:r>
      <w:bookmarkStart w:id="175" w:name="_Hlk119274977"/>
      <w:r w:rsidRPr="00E97E0B">
        <w:rPr>
          <w:rFonts w:ascii="Times" w:hAnsi="Times"/>
        </w:rPr>
        <w:t xml:space="preserve"> Aurélien Biteau, Réflexion sur la solidarité et la charité, Contrepoints, 25.10.2011, [Erişim: 10.05.2022], https://www.contrepoints.org/2011/10/25/52281-reflexion-sur-la-solidarite-et-la-charite </w:t>
      </w:r>
      <w:bookmarkEnd w:id="175"/>
    </w:p>
  </w:footnote>
  <w:footnote w:id="324">
    <w:p w14:paraId="6EC781D0" w14:textId="1E58F4E2" w:rsidR="003C2413" w:rsidRPr="00E97E0B" w:rsidRDefault="003C2413">
      <w:pPr>
        <w:pStyle w:val="FootnoteText"/>
      </w:pPr>
      <w:r w:rsidRPr="00E97E0B">
        <w:rPr>
          <w:rStyle w:val="FootnoteReference"/>
          <w:rFonts w:ascii="Times New Roman" w:hAnsi="Times New Roman" w:cs="Times New Roman"/>
        </w:rPr>
        <w:footnoteRef/>
      </w:r>
      <w:r w:rsidRPr="00E97E0B">
        <w:rPr>
          <w:rFonts w:ascii="Times New Roman" w:hAnsi="Times New Roman" w:cs="Times New Roman"/>
        </w:rPr>
        <w:t xml:space="preserve"> </w:t>
      </w:r>
      <w:r w:rsidR="00EC2174" w:rsidRPr="00E97E0B">
        <w:rPr>
          <w:rFonts w:ascii="Times New Roman" w:hAnsi="Times New Roman" w:cs="Times New Roman"/>
        </w:rPr>
        <w:t>“</w:t>
      </w:r>
      <w:r w:rsidRPr="00E97E0B">
        <w:rPr>
          <w:rFonts w:ascii="Times" w:hAnsi="Times"/>
        </w:rPr>
        <w:t>Discours de Nicolas Sarkozy à Bordeaux,” Youtube.</w:t>
      </w:r>
    </w:p>
  </w:footnote>
  <w:footnote w:id="325">
    <w:p w14:paraId="6A357D23"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Bernard Lawrence Madoff: Amerika Birleşik Devletleri’nde kurulmuş olan özel bir borsa olan Nasdaq’ın eski yönetim kurulu başkanı, milyarlarca dolarlık dolandırıcılıktan hüküm giyen yatırım danışmanı. </w:t>
      </w:r>
    </w:p>
  </w:footnote>
  <w:footnote w:id="326">
    <w:p w14:paraId="210EA51C"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Martine Aubry: Fransa’daki en büyük oy oranına sahip sol parti olan Sosyalist Parti’nin (PS)  Birinci Sekreterliği, Çalışma ve Dayanışma Bakanlığı, Lille Belediye Başkanlığı görevlerini yürütmüş bir siyasetçidir. Ayrıca PS’nin yapısında önemli değişiklikler yaparak partinin Cumhurbaşkanı adayını belirlemek üzere tarihinde gerçekleştirilen ilk </w:t>
      </w:r>
      <w:r w:rsidRPr="00E97E0B">
        <w:rPr>
          <w:i/>
          <w:iCs/>
        </w:rPr>
        <w:t>primaire</w:t>
      </w:r>
      <w:r w:rsidRPr="00E97E0B">
        <w:t>’in (açık ön seçimin) öncüsü olmuştur. Aubry kendisinin öncülük ettiği ilk ön seçimde adaylığını koymuş ve adaylığı nedeniyle Parti Birinci Sekreterliğinden istifa etmiş ve bu seçimin ikinci turunda cumhurbaşkanlığı seçiminin kazananı olacak François Hollande’a yenilmiş ve Cumhurbaşkanlığı seçiminde de kendisine destek vermiştir.</w:t>
      </w:r>
    </w:p>
  </w:footnote>
  <w:footnote w:id="327">
    <w:p w14:paraId="49E0E8DB"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François Hollande: 2012-2017 dönemi Fransa Cumhurbaşkanı. Sosyalist Parti’nin ilk </w:t>
      </w:r>
      <w:r w:rsidRPr="00E97E0B">
        <w:rPr>
          <w:i/>
          <w:iCs/>
        </w:rPr>
        <w:t>primaire</w:t>
      </w:r>
      <w:r w:rsidRPr="00E97E0B">
        <w:t>’inde partinin cumhurbaşkanı adayı olarak seçilmiştir. Ayrıca Tulle Belediye Başkanlığı, milletvekiliği ve Avrupa Parlamento vekilliği yapmıştır.</w:t>
      </w:r>
    </w:p>
  </w:footnote>
  <w:footnote w:id="328">
    <w:p w14:paraId="5451F08D" w14:textId="79EF31D0" w:rsidR="003C2413" w:rsidRPr="00E97E0B" w:rsidRDefault="003C2413" w:rsidP="002858AE">
      <w:pPr>
        <w:pStyle w:val="DipnotMetni1"/>
        <w:spacing w:before="0" w:after="0" w:line="240" w:lineRule="auto"/>
      </w:pPr>
      <w:r w:rsidRPr="00E97E0B">
        <w:rPr>
          <w:rStyle w:val="FootnoteReference"/>
        </w:rPr>
        <w:footnoteRef/>
      </w:r>
      <w:r w:rsidRPr="00E97E0B">
        <w:t xml:space="preserve"> Henri Philippe Pétain: Birinci Dünya Savaşı’nda Mareşal olan ve İkinci Dünya Savaşı sırasında Nazi Almanyası ile işbirliği yapan ve Fransa’daki Vichy Hükümeti’nin başkanı Fransız komutan. Savaş sonlarında da Almanyalarla birlikte Almanya’ya gitti. Savaştan sonra da vatana ihanetten hüküm giyerek ölüme mahkûm edildi ancak Birinci Dünya Savaşı’ndaki katkılarından ötürü ölüm cezası ömür boyu hapse çevrildi. Herhangi birinin Fransa tarihinde kötü şöhrete sahip general siyasal tartışmalarda kullanılabilecek en olumsuz referanslardan biridir. </w:t>
      </w:r>
    </w:p>
  </w:footnote>
  <w:footnote w:id="329">
    <w:p w14:paraId="668626A4"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Pierre Laval: İkinci Dünya Savaşı sırasında Mareşal Pétain’ın devlet başkanlığı altında Hükümetin başına geçmiş olan siyasetçidir. Fransa’nın işgalden kurtuluşunun ardından vatana ihanetten hüküm giyerek idam edilmiştir. Siyasi kariyerinin başlarında siyasi yelpazenin solunda iken zamanla giderek daha sağda konulanan Laval siyasi yaşamının sonlarında Nazilerle işbirliği yapmıştır. Pétain gibi Laval de Fransa tarihi için ihaneti sembolize eden en olumsuz referanslardan biridir.</w:t>
      </w:r>
    </w:p>
  </w:footnote>
  <w:footnote w:id="330">
    <w:p w14:paraId="49642AD5" w14:textId="5184CD89" w:rsidR="003C2413" w:rsidRPr="00E97E0B" w:rsidRDefault="003C2413">
      <w:pPr>
        <w:pStyle w:val="FootnoteText"/>
      </w:pPr>
      <w:r w:rsidRPr="00E97E0B">
        <w:rPr>
          <w:rStyle w:val="FootnoteReference"/>
        </w:rPr>
        <w:footnoteRef/>
      </w:r>
      <w:r w:rsidRPr="00E97E0B">
        <w:t xml:space="preserve"> </w:t>
      </w:r>
      <w:r w:rsidR="004671D2">
        <w:rPr>
          <w:rFonts w:ascii="Times" w:hAnsi="Times"/>
        </w:rPr>
        <w:t>Ibid.</w:t>
      </w:r>
    </w:p>
  </w:footnote>
  <w:footnote w:id="331">
    <w:p w14:paraId="43853E1D" w14:textId="1FAC32E1"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“Déclaration de M. Nicolas Sarkozy, candidat à l'élection présidentielle, notamment sur la campagne électorale et sur l'immigration, à Clermont-Ferrand le 28 avril 2012,” Collections des Discours Publics, Vie Publique, [Erişim: 15.05.2022], https://www.vie-publique.fr/discours/184973-declaration-de-m-nicolas-sarkozy-candidat-lelection-presidentielle </w:t>
      </w:r>
    </w:p>
    <w:p w14:paraId="69ACC4E3" w14:textId="1E22A7E8" w:rsidR="003C2413" w:rsidRPr="00E97E0B" w:rsidRDefault="003C2413" w:rsidP="002858AE">
      <w:pPr>
        <w:pStyle w:val="DipnotMetni1"/>
        <w:spacing w:before="0" w:after="0" w:line="240" w:lineRule="auto"/>
        <w:rPr>
          <w:rFonts w:ascii="Times" w:hAnsi="Times"/>
          <w:i/>
          <w:iCs/>
        </w:rPr>
      </w:pPr>
      <w:r w:rsidRPr="00E97E0B">
        <w:rPr>
          <w:rFonts w:ascii="Times" w:hAnsi="Times"/>
          <w:i/>
          <w:iCs/>
        </w:rPr>
        <w:t xml:space="preserve">“…Au premier tour, au premier tour, ce premier tour où vous vous rappelez, je ne devais pas être sélectionné pour le second, je suis désolé d’avoir un peu gêné l’ordonnancement si bien huilé, mais ça ne s’est pas passé exactement comme ils l’imaginaient. Le premier tour a été décrit comme une poussée de la gauche extraordinaire, avec un génie, un homme très raisonnable qu’on a envie d’avoir comme voisin, monsieur MELENCHON décrivant Cuba comme une démocratie et Fidel CASTRO comme un démocrate. Ce monsieur qui prétendait être président de la République et qui dit aux Français vous ici en Auvergne, vous connaissez ça, et qui dit aux Français : si vous croisez un riche, comprenez un homme ou une femme qui gagne plus de 4.000 euros par mois, faites-lui les poches, c’est bien pour les enfants de la République d’entendre un candidat à la présidence de la République dire cela ; c’est bien pour des parents qui doivent élever leurs enfants d’entendre un candidat à la présidence de la République dire « faites les poches de celui qui a travaillé et qui a plus que vous ,” c’est bien, c’est une honte. Et monsieur HOLLANDE, la fréquentation assidue de monsieur MELENCHON ne le gêne pas, remarquez ce monsieur MELENCHON qui parlait de son ami HOLLANDE comme d’un capitaine de pédalo, quand le pédalo est arrivé il s’est dépêché de monter dessus. Et ça veut gouverner la France, et ça donne des leçons, et ça veut montrer l’exemple… …Heureusement que la campagne ne vous intéressait pas, qu’est-ce que ça aurait été si elle vous intéressait. Alors dans cette campagne, on avait donc le génie monsieur MELENCHON qui allait tout révolutionner, et qui termine à peine au-dessus de 10 %. On avait madame le PEN dont on nous expliquait qu’elle faisait une très mauvaise campagne, qui termine à 17,9 %. On m’expliquait qu’il y avait un référendum pour François HOLLANDE et un référendum contre moi, à 27,28 c’est difficile de trouver qu’il y a deux référendums. Mais qu’est-ce qu’ils ont dit ces Français? Je veux parler à ces 6 millions et demi de Français qui ont voté pour Marine le PEN. J’ai 35 ans de vie politique, jamais personne n’a pu ni de près ni de loin voir la moindre collusion entre le Front National et ce que je faisais, jamais. De tous les dirigeants politiques, je suis sans doute celui qui a le plus souvent débattu avec monsieur le PEN. Jamais je n’ai accepté responsable d’une formation politique le moindre accord, la moindre compromission, jamais. Mais personne ne m’empêchera, personne ne m’empêchera de parler à ces 6 millions et demi de Français parce que nous avons des choses à leur dire, qu’ils doivent être respectés, qu’ils doivent être considérés, qu’ils doivent être écoutés et peut-être même parfois entendus dans la souffrance qui est la leur.” </w:t>
      </w:r>
      <w:r w:rsidRPr="00E97E0B">
        <w:rPr>
          <w:rFonts w:ascii="Times" w:hAnsi="Times"/>
        </w:rPr>
        <w:t>(Konuşma Metninin Transkripsiyonu ve çevirisi araştırmacı tarafından yapılmıştır).</w:t>
      </w:r>
    </w:p>
  </w:footnote>
  <w:footnote w:id="332">
    <w:p w14:paraId="240A16F4" w14:textId="7F666D1C"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78" w:name="_Hlk119275061"/>
      <w:r w:rsidRPr="00E97E0B">
        <w:rPr>
          <w:rFonts w:ascii="Times" w:hAnsi="Times"/>
        </w:rPr>
        <w:t xml:space="preserve">Sébastien Repaire, “Les verts, la gauche et le parti socialiste: Entre convergences et malentendus,” </w:t>
      </w:r>
      <w:r w:rsidRPr="00E97E0B">
        <w:rPr>
          <w:rFonts w:ascii="Times" w:hAnsi="Times"/>
          <w:i/>
          <w:iCs/>
        </w:rPr>
        <w:t>Fondation Jean Jaurès</w:t>
      </w:r>
      <w:bookmarkEnd w:id="178"/>
      <w:r w:rsidRPr="00E97E0B">
        <w:rPr>
          <w:rFonts w:ascii="Times" w:hAnsi="Times"/>
        </w:rPr>
        <w:t>, 24.02.2020.</w:t>
      </w:r>
    </w:p>
  </w:footnote>
  <w:footnote w:id="333">
    <w:p w14:paraId="321F43FE" w14:textId="79EB3BCD"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79" w:name="_Hlk119275052"/>
      <w:r w:rsidRPr="00E97E0B">
        <w:rPr>
          <w:rFonts w:ascii="Times" w:hAnsi="Times"/>
        </w:rPr>
        <w:t xml:space="preserve">“Sarkozy pilonne le PS et les Verts sur le nucléaire,” Le Parisien, 25.11.2011, [Erişim: 18.05.2022], https://www.leparisien.fr/elections/presidentielle/videos-sarkozy-pilonne-le-ps-et-les-verts-sur-le-nucleaire-25-11-2011-1738362.php </w:t>
      </w:r>
      <w:bookmarkEnd w:id="179"/>
    </w:p>
  </w:footnote>
  <w:footnote w:id="334">
    <w:p w14:paraId="74802756" w14:textId="4C74EA79" w:rsidR="003C2413" w:rsidRPr="00E97E0B" w:rsidRDefault="003C2413" w:rsidP="002858AE">
      <w:pPr>
        <w:pStyle w:val="DipnotMetni1"/>
        <w:spacing w:before="0" w:after="0" w:line="240" w:lineRule="auto"/>
      </w:pPr>
      <w:bookmarkStart w:id="180" w:name="_Hlk136298656"/>
      <w:r w:rsidRPr="00E97E0B">
        <w:rPr>
          <w:rStyle w:val="FootnoteReference"/>
        </w:rPr>
        <w:footnoteRef/>
      </w:r>
      <w:r w:rsidRPr="00E97E0B">
        <w:t xml:space="preserve"> “Agence Nationale de la Cohésion des Territoires, Action des collectivités territoriales en matière de la transition écologique vue par les citoyens: Synthèse d’une étude réalisée par le Credoc pour l’ANCT,” CREDOC, Haziran 2022, [Erişim 24.12.2022</w:t>
      </w:r>
      <w:r w:rsidRPr="00E97E0B">
        <w:rPr>
          <w:rFonts w:ascii="Times" w:hAnsi="Times"/>
        </w:rPr>
        <w:t>]</w:t>
      </w:r>
      <w:r w:rsidRPr="00E97E0B">
        <w:t>, https://www.credoc.fr/publications/laction-des-collectivites-territoriales-en-matiere-de-transition-ecologique-vue-par-les-citoyens-note-de-synthese, 10.</w:t>
      </w:r>
      <w:bookmarkEnd w:id="180"/>
    </w:p>
  </w:footnote>
  <w:footnote w:id="335">
    <w:p w14:paraId="7371F3B1"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Chevènementcılar: Jean-Pierre Chevènement’ın taraftarları anlamına gelmektedir. Chevènement’ın Fransız siyasetinde devletçi ve egemenlikçi bir siyaseti temsil ettiği söylenebilir. PS kökenli Chevènement aynı sonraları ayrı hareketler de kurmuştur. Maastricht Anlaşması’na karşı çıkması ve AB bütünleşmesinden ziyade devlet egemenliğini savunması ile bilinir. </w:t>
      </w:r>
    </w:p>
  </w:footnote>
  <w:footnote w:id="336">
    <w:p w14:paraId="759ECB67" w14:textId="621F308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“Déclaration de M. Nicolas Sarkozy, président de l'UMP et candidat à l'élection présidentielle, sur son amour de la France, sa volonté de rassembler le peuple français autour des valeurs de la Nation, de la République et de l'Etat et sur son souhait de voir l'Europe réunifier la Méditerranée, Montpellier le 3 mai 2007,” Collection des Discours Publics, Vie Publique, [Erişim: 20.05.2022], https://www.vie-publique.fr/discours/166577-declaration-de-m-nicolas-sarkozy-president-de-lump-et-candidat-lel </w:t>
      </w:r>
    </w:p>
    <w:p w14:paraId="67EE233B" w14:textId="77777777" w:rsidR="003C2413" w:rsidRPr="00E97E0B" w:rsidRDefault="003C2413" w:rsidP="002858AE">
      <w:pPr>
        <w:pStyle w:val="DipnotMetni1"/>
        <w:spacing w:before="0" w:after="0" w:line="240" w:lineRule="auto"/>
        <w:rPr>
          <w:rFonts w:ascii="Times" w:hAnsi="Times"/>
        </w:rPr>
      </w:pPr>
      <w:r w:rsidRPr="00E97E0B">
        <w:rPr>
          <w:rFonts w:ascii="Times" w:hAnsi="Times"/>
          <w:i/>
          <w:iCs/>
        </w:rPr>
        <w:t xml:space="preserve">“…Je veux être le candidat du peuple parce que dans une démocratie il n'y a pas d'autre légitimité pour la politique que la légitimité populaire. Je ne veux pas rassembler des partis. Je veux rassembler les Français. Je ne veux pas rassembler un camp. Je veux rassembler le peuple français au-delà des clivages partisans. Je veux rassembler sur des valeurs et sur des convictions, parce que pour moi les valeurs et les convictions c'est plus important que les étiquettes. A la coalition hétéroclite de l'extrême-gauche, des Verts, des chevènementistes, des communistes, des socialistes, qui voudrait bien s'élargir vers le centre et qui n'est soudée que par le sectarisme et le sentiment de haine à mon égard qui les anime, je veux opposer, moi, le rassemblement du peuple français…” </w:t>
      </w:r>
      <w:r w:rsidRPr="00E97E0B">
        <w:rPr>
          <w:rFonts w:ascii="Times" w:hAnsi="Times"/>
        </w:rPr>
        <w:t>(Konuşma Metninin Transkripsiyonu ve çevirisi araştırmacı tarafından yapılmıştır).</w:t>
      </w:r>
    </w:p>
  </w:footnote>
  <w:footnote w:id="337">
    <w:p w14:paraId="35CA6F2B" w14:textId="30E77BE4" w:rsidR="003C2413" w:rsidRPr="00E97E0B" w:rsidRDefault="003C2413" w:rsidP="002858AE">
      <w:pPr>
        <w:autoSpaceDE w:val="0"/>
        <w:autoSpaceDN w:val="0"/>
        <w:adjustRightInd w:val="0"/>
        <w:spacing w:after="0" w:line="240" w:lineRule="auto"/>
        <w:rPr>
          <w:rFonts w:ascii="Times" w:hAnsi="Times"/>
          <w:sz w:val="20"/>
          <w:szCs w:val="20"/>
        </w:rPr>
      </w:pPr>
      <w:r w:rsidRPr="00E97E0B">
        <w:rPr>
          <w:rStyle w:val="FootnoteReference"/>
          <w:rFonts w:ascii="Times" w:hAnsi="Times"/>
          <w:sz w:val="20"/>
          <w:szCs w:val="20"/>
        </w:rPr>
        <w:footnoteRef/>
      </w:r>
      <w:r w:rsidRPr="00E97E0B">
        <w:rPr>
          <w:rFonts w:ascii="Times" w:hAnsi="Times"/>
          <w:sz w:val="20"/>
          <w:szCs w:val="20"/>
        </w:rPr>
        <w:t xml:space="preserve"> </w:t>
      </w:r>
      <w:bookmarkStart w:id="181" w:name="_Hlk119275143"/>
      <w:r w:rsidRPr="00E97E0B">
        <w:rPr>
          <w:rFonts w:ascii="Times" w:hAnsi="Times"/>
          <w:sz w:val="20"/>
          <w:szCs w:val="20"/>
        </w:rPr>
        <w:t xml:space="preserve">Carl Schmitt, </w:t>
      </w:r>
      <w:r w:rsidRPr="00E97E0B">
        <w:rPr>
          <w:rFonts w:ascii="Times" w:hAnsi="Times"/>
          <w:i/>
          <w:iCs/>
          <w:sz w:val="20"/>
          <w:szCs w:val="20"/>
        </w:rPr>
        <w:t>Siyasal Kavramı</w:t>
      </w:r>
      <w:r w:rsidRPr="00E97E0B">
        <w:rPr>
          <w:rFonts w:ascii="Times" w:hAnsi="Times"/>
          <w:sz w:val="20"/>
          <w:szCs w:val="20"/>
        </w:rPr>
        <w:t>, 2. bs. (İstanbul: Metis Yayınları, 2012), 61,62.</w:t>
      </w:r>
      <w:bookmarkEnd w:id="181"/>
    </w:p>
    <w:p w14:paraId="32178B34" w14:textId="77777777" w:rsidR="003C2413" w:rsidRPr="00E97E0B" w:rsidRDefault="003C2413" w:rsidP="002858AE">
      <w:pPr>
        <w:pStyle w:val="DipnotMetni1"/>
        <w:spacing w:before="0" w:after="0" w:line="240" w:lineRule="auto"/>
        <w:rPr>
          <w:rFonts w:ascii="Times" w:hAnsi="Times"/>
        </w:rPr>
      </w:pPr>
    </w:p>
  </w:footnote>
  <w:footnote w:id="338">
    <w:p w14:paraId="4C4427C6" w14:textId="3DA53F5E"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r w:rsidR="00EC2174" w:rsidRPr="00E97E0B">
        <w:rPr>
          <w:rFonts w:ascii="Times" w:hAnsi="Times"/>
        </w:rPr>
        <w:t>“</w:t>
      </w:r>
      <w:r w:rsidRPr="00E97E0B">
        <w:rPr>
          <w:rFonts w:ascii="Times" w:hAnsi="Times"/>
        </w:rPr>
        <w:t xml:space="preserve">Déclaration de M. Nicolas Sarkozy, Président de la République, sur la valorisation de la Filière Bois, à Urmatt (Bas-Rhin), 19.05.2009,” Collection des Discours Publics, Vie Publique, [Erişim: 22.05.2022], https://www.elysee.fr/nicolas-sarkozy/2009/05/19/declaration-de-m-nicolas-sarkozy-president-de-la-republique-sur-la-valorisation-de-la-filiere-bois-a-urmatt-bas-rhin-le-19-mai-2009 </w:t>
      </w:r>
    </w:p>
    <w:p w14:paraId="6DB6C79F" w14:textId="77777777" w:rsidR="003C2413" w:rsidRPr="00E97E0B" w:rsidRDefault="003C2413" w:rsidP="002858AE">
      <w:pPr>
        <w:pStyle w:val="DipnotMetni1"/>
        <w:spacing w:before="0" w:after="0" w:line="240" w:lineRule="auto"/>
        <w:rPr>
          <w:rFonts w:ascii="Times" w:hAnsi="Times"/>
          <w:i/>
          <w:iCs/>
        </w:rPr>
      </w:pPr>
      <w:r w:rsidRPr="00E97E0B">
        <w:rPr>
          <w:rFonts w:ascii="Times" w:hAnsi="Times"/>
          <w:i/>
          <w:iCs/>
        </w:rPr>
        <w:t>“…C'est la prise de conscience que la croissance de demain ne ressemblera pas à la croissance d'hier. Il nous faut de la croissance et des emplois pour vous et pour vos enfants. Mais nous ne pouvons pas sacrifier les équilibres de la planète. La croissance demain sera durable ou elle ne sera pas. Et la défense de l'environnement, c'est trop stratégique, c'est trop capital pour appartenir simplement à un petit groupe sectaire. Il faut que les grandes formations de gouvernements soient persuadées de la nécessité de produire différemment…”</w:t>
      </w:r>
    </w:p>
  </w:footnote>
  <w:footnote w:id="339">
    <w:p w14:paraId="1814FFCC" w14:textId="0DA8D3A3"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Vie Publique, “Déclaration de M. Nicolas Sarkozy, candidat à l'élection présidentielle, notamment sur la campagne électorale et sur l'immigration, à Clermont-Ferrand le 28 avril 2012,”</w:t>
      </w:r>
    </w:p>
    <w:p w14:paraId="78A5F146" w14:textId="77777777" w:rsidR="003C2413" w:rsidRPr="00E97E0B" w:rsidRDefault="003C2413" w:rsidP="002858AE">
      <w:pPr>
        <w:pStyle w:val="DipnotMetni1"/>
        <w:spacing w:before="0" w:after="0" w:line="240" w:lineRule="auto"/>
        <w:rPr>
          <w:rFonts w:ascii="Times" w:hAnsi="Times"/>
          <w:i/>
          <w:iCs/>
        </w:rPr>
      </w:pPr>
      <w:r w:rsidRPr="00E97E0B">
        <w:rPr>
          <w:rFonts w:ascii="Times" w:hAnsi="Times"/>
          <w:i/>
          <w:iCs/>
        </w:rPr>
        <w:t xml:space="preserve">“…Au premier tour, au premier tour, ce premier tour où vous vous rappelez, je ne devais pas être sélectionné pour le second, je suis désolé d’avoir un peu gêné l’ordonnancement si bien huilé, mais ça ne s’est pas passé exactement comme ils l’imaginaient. Le premier tour a été décrit comme une poussée de la gauche extraordinaire, avec un génie, un homme très raisonnable qu’on a envie d’avoir comme voisin, monsieur MELENCHON décrivant Cuba comme une démocratie et Fidel CASTRO comme un démocrate. Ce monsieur qui prétendait être président de la République et qui dit aux Français vous ici en Auvergne, vous connaissez ça, et qui dit aux Français : si vous croisez un riche, comprenez un homme ou une femme qui gagne plus de 4.000 euros par mois, faites-lui les poches, c’est bien pour les enfants de la République d’entendre un candidat à la présidence de la République dire cela ; c’est bien pour des parents qui doivent élever leurs enfants d’entendre un candidat à la présidence de la République dire « faites les poches de celui qui a travaillé et qui a plus que vous », c’est bien, c’est une honte. Et monsieur HOLLANDE, la fréquentation assidue de monsieur MELENCHON ne le gêne pas, remarquez ce monsieur MELENCHON qui parlait de son ami HOLLANDE comme d’un capitaine de pédalo, quand le pédalo est arrivé il s’est dépêché de monter dessus. Et ça veut gouverner la France, et ça donne des leçons, et ça veut montrer l’exemple… …Heureusement que la campagne ne vous intéressait pas, qu’est-ce que ça aurait été si elle vous intéressait. Alors dans cette campagne, on avait donc le génie monsieur MELENCHON qui allait tout révolutionner, et qui termine à peine au-dessus de 10 %. On avait madame le PEN dont on nous expliquait qu’elle faisait une très mauvaise campagne, qui termine à 17,9 %. On m’expliquait qu’il y avait un référendum pour François HOLLANDE et un référendum contre moi, à 27,28 c’est difficile de trouver qu’il y a deux référendums. Mais qu’est-ce qu’ils ont dit ces Français ? Je veux parler à ces 6 millions et demi de Français qui ont voté pour Marine le PEN. J’ai 35 ans de vie politique, jamais personne n’a pu ni de près ni de loin voir la moindre collusion entre le Front National et ce que je faisais, jamais. De tous les dirigeants politiques, je suis sans doute celui qui a le plus souvent débattu avec monsieur le PEN. Jamais je n’ai accepté responsable d’une formation politique le moindre accord, la moindre compromission, jamais. Mais personne ne m’empêchera, personne ne m’empêchera de parler à ces 6 millions et demi de Français parce que nous avons des choses à leur dire, qu’ils doivent être respectés, qu’ils doivent être considérés, qu’ils doivent être écoutés et peut-être même parfois entendus dans la souffrance qui est la leur.” </w:t>
      </w:r>
      <w:r w:rsidRPr="00E97E0B">
        <w:rPr>
          <w:rFonts w:ascii="Times" w:hAnsi="Times"/>
        </w:rPr>
        <w:t>(Çeviri araştırmacı tarafından yapılmıştır).</w:t>
      </w:r>
      <w:r w:rsidRPr="00E97E0B">
        <w:rPr>
          <w:rFonts w:ascii="Times" w:hAnsi="Times"/>
          <w:i/>
          <w:iCs/>
        </w:rPr>
        <w:t xml:space="preserve"> </w:t>
      </w:r>
    </w:p>
  </w:footnote>
  <w:footnote w:id="340">
    <w:p w14:paraId="1126052A" w14:textId="24702388"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83" w:name="_Hlk119275268"/>
      <w:r w:rsidRPr="00E97E0B">
        <w:rPr>
          <w:rFonts w:ascii="Times" w:hAnsi="Times"/>
        </w:rPr>
        <w:t xml:space="preserve">Jean-Louis Schlegel, “Pourquoi le Front National?” </w:t>
      </w:r>
      <w:r w:rsidRPr="00E97E0B">
        <w:rPr>
          <w:rFonts w:ascii="Times" w:hAnsi="Times"/>
          <w:i/>
          <w:iCs/>
        </w:rPr>
        <w:t>Editions Esprit</w:t>
      </w:r>
      <w:r w:rsidRPr="00E97E0B">
        <w:rPr>
          <w:rFonts w:ascii="Times" w:hAnsi="Times"/>
        </w:rPr>
        <w:t xml:space="preserve"> </w:t>
      </w:r>
      <w:r w:rsidR="00EC2174" w:rsidRPr="00E97E0B">
        <w:rPr>
          <w:rFonts w:ascii="Times" w:hAnsi="Times"/>
        </w:rPr>
        <w:t>c. 2, s</w:t>
      </w:r>
      <w:r w:rsidRPr="00E97E0B">
        <w:rPr>
          <w:rFonts w:ascii="Times" w:hAnsi="Times"/>
        </w:rPr>
        <w:t>.422 (Février 2016), 34.</w:t>
      </w:r>
      <w:bookmarkEnd w:id="183"/>
    </w:p>
  </w:footnote>
  <w:footnote w:id="341">
    <w:p w14:paraId="7AA0E41C" w14:textId="573D793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René Schaerer, “Le mécanisme de l’ironie dans ses rapports avec la dialectique,” R</w:t>
      </w:r>
      <w:r w:rsidRPr="00E97E0B">
        <w:rPr>
          <w:rFonts w:ascii="Times" w:hAnsi="Times"/>
          <w:i/>
          <w:iCs/>
        </w:rPr>
        <w:t>evue de Métaphysique et de Morale,</w:t>
      </w:r>
      <w:r w:rsidRPr="00E97E0B">
        <w:rPr>
          <w:rFonts w:ascii="Times" w:hAnsi="Times"/>
        </w:rPr>
        <w:t xml:space="preserve"> c. 48, s. 3 (Juillet, 1941), 185.</w:t>
      </w:r>
    </w:p>
  </w:footnote>
  <w:footnote w:id="342">
    <w:p w14:paraId="095C0DCC" w14:textId="15694317"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84" w:name="_Hlk119275552"/>
      <w:r w:rsidRPr="00E97E0B">
        <w:rPr>
          <w:rFonts w:ascii="Times" w:hAnsi="Times"/>
        </w:rPr>
        <w:t xml:space="preserve">Bakhtine M., 1981, “Le discours dans la vie et le discours dans la poésie. Contribution à une poétique sociologique,” </w:t>
      </w:r>
      <w:r w:rsidRPr="00E97E0B">
        <w:rPr>
          <w:rFonts w:ascii="Times" w:hAnsi="Times"/>
          <w:i/>
          <w:iCs/>
        </w:rPr>
        <w:t>Le principe Dialogique</w:t>
      </w:r>
      <w:r w:rsidRPr="00E97E0B">
        <w:rPr>
          <w:rFonts w:ascii="Times" w:hAnsi="Times"/>
        </w:rPr>
        <w:t xml:space="preserve"> içinde, Ed. T. Todorov (Paris: Seuil, 1981), 181-216.</w:t>
      </w:r>
      <w:bookmarkEnd w:id="184"/>
    </w:p>
  </w:footnote>
  <w:footnote w:id="343">
    <w:p w14:paraId="2B89F5E5" w14:textId="0CE3060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w:t>
      </w:r>
      <w:bookmarkStart w:id="185" w:name="_Hlk119275556"/>
      <w:r w:rsidRPr="00E97E0B">
        <w:rPr>
          <w:rFonts w:ascii="Times" w:hAnsi="Times"/>
        </w:rPr>
        <w:t xml:space="preserve">Guillaume Perrault, “Marine Le Pen ne donne pas de consigne pour le second tour,” Le Figaro, 01.05.2012, [Erişim: 25.05.2022], https://www.lefigaro.fr/presidentielle-2012/2012/05/01/01039-20120501ARTFIG00183-marine-le-pen-votera-blanc-au-deuxieme-tour.php </w:t>
      </w:r>
      <w:bookmarkEnd w:id="185"/>
    </w:p>
  </w:footnote>
  <w:footnote w:id="344">
    <w:p w14:paraId="66AB212A" w14:textId="4D789A84"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Vie Publique, “Déclaration de M. Nicolas Sarkozy, candidat à l'élection présidentielle, notamment sur la campagne électorale et sur l'immigration, à Clermont-Ferrand le 28 avril 2012.” </w:t>
      </w:r>
      <w:r w:rsidRPr="00E97E0B">
        <w:rPr>
          <w:rFonts w:ascii="Times" w:hAnsi="Times"/>
          <w:i/>
          <w:iCs/>
        </w:rPr>
        <w:t xml:space="preserve">“…Il y a une différence entre monsieur HOLLANDE et moi, le soir du premier tour monsieur HOLLANDE prend une pince à linge et dit à ces Français: mon Dieu, quelle odeur. Je rappelle à monsieur HOLLANDE que quand on est contre le racisme, on est contre tous les racismes, y compris lorsque le racisme ne s’adresse pas à des gens de gauche. Mépriser ces électeurs, c’est une forme de racisme, les considérer comme des gens de peu de réflexion, c’est une insulte, penser, alors qu’ils ont fait un choix entre des candidatures autorisées par la République, que ce choix est répréhensible, c’est une forme de suffisance qui est intolérable. Je ne donnerai pas de leçon à des gens qui vivent dans des quartiers où je ne vis pas et qui scolarisent leurs enfants dans des écoles où je ne scolarise pas les miens. Je m’interdis de leur donner des leçons parce que je respecte des conditions de vie qui ne sont pas les miennes. Voilà ce qui s’appelle être républicain.” </w:t>
      </w:r>
      <w:r w:rsidRPr="00E97E0B">
        <w:rPr>
          <w:rFonts w:ascii="Times" w:hAnsi="Times"/>
        </w:rPr>
        <w:t>(Çevirisi araştırmacı tarafından yapılmıştır).</w:t>
      </w:r>
    </w:p>
  </w:footnote>
  <w:footnote w:id="345">
    <w:p w14:paraId="4E243354" w14:textId="69820D44" w:rsidR="003C2413" w:rsidRPr="00E97E0B" w:rsidRDefault="003C2413" w:rsidP="002858AE">
      <w:pPr>
        <w:pStyle w:val="DipnotMetni1"/>
        <w:spacing w:before="0" w:after="0" w:line="240" w:lineRule="auto"/>
        <w:rPr>
          <w:rFonts w:ascii="Times" w:hAnsi="Times"/>
          <w:i/>
          <w:iCs/>
        </w:rPr>
      </w:pPr>
      <w:r w:rsidRPr="00E97E0B">
        <w:rPr>
          <w:rStyle w:val="FootnoteReference"/>
          <w:rFonts w:ascii="Times" w:hAnsi="Times"/>
        </w:rPr>
        <w:footnoteRef/>
      </w:r>
      <w:r w:rsidRPr="00E97E0B">
        <w:rPr>
          <w:rFonts w:ascii="Times" w:hAnsi="Times"/>
        </w:rPr>
        <w:t xml:space="preserve"> </w:t>
      </w:r>
      <w:r w:rsidR="004671D2">
        <w:rPr>
          <w:rFonts w:ascii="Times" w:hAnsi="Times"/>
        </w:rPr>
        <w:t>Ibid.</w:t>
      </w:r>
      <w:r w:rsidRPr="00E97E0B">
        <w:rPr>
          <w:rFonts w:ascii="Times" w:hAnsi="Times"/>
        </w:rPr>
        <w:t>,</w:t>
      </w:r>
      <w:r w:rsidRPr="00E97E0B">
        <w:rPr>
          <w:rFonts w:ascii="Times" w:hAnsi="Times"/>
          <w:i/>
          <w:iCs/>
        </w:rPr>
        <w:t>“…Un petit club s’était réuni lors des primaires socialistes, et avait décidé ce qu’il convenait de penser et ce qu’il convenait de dire. Et tous ceux qui ne pensent pas ou ne disent pas comme eux sont exclus du</w:t>
      </w:r>
      <w:r w:rsidRPr="00E97E0B">
        <w:rPr>
          <w:rFonts w:ascii="Times" w:hAnsi="Times"/>
        </w:rPr>
        <w:t xml:space="preserve"> </w:t>
      </w:r>
      <w:r w:rsidRPr="00E97E0B">
        <w:rPr>
          <w:rFonts w:ascii="Times" w:hAnsi="Times"/>
          <w:i/>
          <w:iCs/>
        </w:rPr>
        <w:t>débat républicain. Ça ne les gêne pas, c’est invraisemblable… …il faut reconnaître ses erreurs et même les erreurs de ses amis, quand on est faible on est incapable d’assumer ce choix. Mais qu’est-ce que je devrai penser moi, qu’est-ce que je devrai penser moi quand madame AUBRY me compare à MADOFF, 183 ans de prison, j’attends toujours les excuses de madame AUBRY et de monsieur HOLLANDE. Quand dans une réunion où monsieur HOLLANDE se trouve, l’un de ses partisans me compare à FRANCO, j’attends toujours les excuses de monsieur HOLLANDE. Quand le journal communiste, les communistes qui soutiennent monsieur HOLLANDE, me compare à PETAIN, j’attends toujours les excuses de monsieur HOLLANDE. Quand son ami MELENCHON, parce que vous avez les amis de la dernière minute sont toujours les amis les plus empressés, me compare à LAVAL, dois-je considérer, dois-je attendre longtemps les excuses de monsieur HOLLANDE ? Mais je vais vous dire une chose, ce n’est pas moi qui suis en cause, j’ai l’habitude de leurs injures, c’est tous les Français qui ont voté pour moi au premier tour et qui se sentent insultés par le sectarisme, la haine, le mensonge, la calomnie, l’injure de tous ces donneurs de leçons. C’est vous qu’ils insultent.</w:t>
      </w:r>
    </w:p>
    <w:p w14:paraId="5DD20D02" w14:textId="77777777" w:rsidR="003C2413" w:rsidRPr="00E97E0B" w:rsidRDefault="003C2413" w:rsidP="002858AE">
      <w:pPr>
        <w:pStyle w:val="DipnotMetni1"/>
        <w:spacing w:before="0" w:after="0" w:line="240" w:lineRule="auto"/>
        <w:rPr>
          <w:rFonts w:ascii="Times" w:hAnsi="Times"/>
        </w:rPr>
      </w:pPr>
      <w:r w:rsidRPr="00E97E0B">
        <w:rPr>
          <w:rFonts w:ascii="Times" w:hAnsi="Times"/>
          <w:i/>
          <w:iCs/>
        </w:rPr>
        <w:t xml:space="preserve">Alors donc il y a des sujets qu’on ne pouvait pas évoquer, je voudrais vous rendre attentifs à cela. Chaque fois que la droite républicaine et le centre a déserté des sujets de préoccupation des Français, à ce moment-là ils ont laissé la place à l’abstention pour le meilleur à l’extrémisme pour le pire. Si nous ne sommes pas capables nous, les républicains, de dire fortement sur des sujets sensibles pour les Français ce que nous ferons dans les 5 années qui viennent, comment voulez-vous que les gens nous fassent confiance, comment voulez-vous qu’ils se reconnaissent entre nous ?...” </w:t>
      </w:r>
      <w:r w:rsidRPr="00E97E0B">
        <w:rPr>
          <w:rFonts w:ascii="Times" w:hAnsi="Times"/>
        </w:rPr>
        <w:t>(Çevirisi araştırmacı tarafından yapılmıştır).</w:t>
      </w:r>
    </w:p>
  </w:footnote>
  <w:footnote w:id="346">
    <w:p w14:paraId="5E49EA5B" w14:textId="12FEE770" w:rsidR="003C2413" w:rsidRPr="00E97E0B" w:rsidRDefault="003C2413" w:rsidP="002858AE">
      <w:pPr>
        <w:pStyle w:val="DipnotMetni1"/>
        <w:spacing w:before="0" w:after="0" w:line="240" w:lineRule="auto"/>
        <w:rPr>
          <w:rFonts w:ascii="Times" w:hAnsi="Times"/>
        </w:rPr>
      </w:pPr>
      <w:r w:rsidRPr="00E97E0B">
        <w:rPr>
          <w:rStyle w:val="FootnoteReference"/>
          <w:rFonts w:ascii="Times" w:hAnsi="Times"/>
        </w:rPr>
        <w:footnoteRef/>
      </w:r>
      <w:r w:rsidRPr="00E97E0B">
        <w:rPr>
          <w:rFonts w:ascii="Times" w:hAnsi="Times"/>
        </w:rPr>
        <w:t xml:space="preserve"> Jean-Louis Schlegel, “Pourquoi le Front National,” 34.</w:t>
      </w:r>
    </w:p>
  </w:footnote>
  <w:footnote w:id="347">
    <w:p w14:paraId="54B07CB9"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Yüksek Seçim Kurulu, 22. Dönem Milletvekili Genel Seçimi, Milletvekili Genel Seçim Arşivi, https://www.ysk.gov.tr/tr/03-kasim-2002-xxii-donem-milletvekili-genel-secimi/3009 [Erişim 13.07.2022]</w:t>
      </w:r>
    </w:p>
  </w:footnote>
  <w:footnote w:id="348">
    <w:p w14:paraId="11ADB2FB" w14:textId="40BE9592"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Pr="00E97E0B">
        <w:rPr>
          <w:rFonts w:cs="Times New Roman"/>
        </w:rPr>
        <w:t xml:space="preserve">T.C. Cumhurbaşkanlığı, ““Yeni Anayasa İçin Hep Birlikte” Temalı Program, Ankara, 28 Ocak 2016,” </w:t>
      </w:r>
      <w:r w:rsidRPr="00E97E0B">
        <w:rPr>
          <w:rFonts w:cs="Times New Roman"/>
          <w:i/>
          <w:iCs/>
        </w:rPr>
        <w:t>Yeni Türkiye Vizyonu, 2023’e Doğru, 2. Cilt</w:t>
      </w:r>
      <w:r w:rsidRPr="00E97E0B">
        <w:rPr>
          <w:rFonts w:cs="Times New Roman"/>
        </w:rPr>
        <w:t xml:space="preserve"> içinde, Cumhurbaşkanlığı Yayınları, (2018) 83. </w:t>
      </w:r>
    </w:p>
  </w:footnote>
  <w:footnote w:id="349">
    <w:p w14:paraId="4FB7FEA1"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Ali Aslan, “Post-Kemalist Türkiye'de siyaset,” N. Miş, A. Aslan (Ed.), AK Parti’nin 15 Yılı: Siyaset içinde (İstanbul: SETA, 2017), 16.</w:t>
      </w:r>
    </w:p>
  </w:footnote>
  <w:footnote w:id="350">
    <w:p w14:paraId="60B05036" w14:textId="3427165B"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190" w:name="_Hlk119275692"/>
      <w:r w:rsidRPr="00E97E0B">
        <w:t xml:space="preserve">Serdar Ünal, “Kimliğin Tarihsel ve Kültürel Ortak İnşası: Türkiye’de Balkan Göçmenleri,” </w:t>
      </w:r>
      <w:r w:rsidRPr="00E97E0B">
        <w:rPr>
          <w:i/>
        </w:rPr>
        <w:t>Millî Folklor</w:t>
      </w:r>
      <w:r w:rsidR="00EC2174" w:rsidRPr="00E97E0B">
        <w:t>, c. 24, s</w:t>
      </w:r>
      <w:r w:rsidRPr="00E97E0B">
        <w:t xml:space="preserve">. 94, (2012), 39-40; Gülsen Demir ve Semra Bolat, “Çerkeslerde Kimlik ve Aidiyet,” </w:t>
      </w:r>
      <w:r w:rsidRPr="00E97E0B">
        <w:rPr>
          <w:i/>
        </w:rPr>
        <w:t>Sosyoloji Konferansları</w:t>
      </w:r>
      <w:r w:rsidR="00EC2174" w:rsidRPr="00E97E0B">
        <w:t>, s</w:t>
      </w:r>
      <w:r w:rsidRPr="00E97E0B">
        <w:t>. 55 (2017), 23, 25.</w:t>
      </w:r>
      <w:bookmarkEnd w:id="190"/>
    </w:p>
  </w:footnote>
  <w:footnote w:id="351">
    <w:p w14:paraId="67020CC5" w14:textId="2DC13AEF"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191" w:name="_Hlk119275702"/>
      <w:r w:rsidRPr="00E97E0B">
        <w:t>Esat Pınarbaşı, “Sosyo-Politik Tutum ve Davranışların Sosyal Dışlanma Kavramı Ekseninde İncelenmesi: Hopa Örneği,” K</w:t>
      </w:r>
      <w:r w:rsidR="00EC2174" w:rsidRPr="00E97E0B">
        <w:t>aradeniz Araştırmaları, c. 14, s</w:t>
      </w:r>
      <w:r w:rsidRPr="00E97E0B">
        <w:t>. 56, (2017), 6.</w:t>
      </w:r>
      <w:bookmarkEnd w:id="191"/>
    </w:p>
  </w:footnote>
  <w:footnote w:id="352">
    <w:p w14:paraId="54B0C3A6" w14:textId="014DBFAE" w:rsidR="003C2413" w:rsidRPr="00E97E0B" w:rsidRDefault="003C2413" w:rsidP="00657BE2">
      <w:pPr>
        <w:pStyle w:val="DipnotMetni1"/>
        <w:spacing w:before="0" w:after="0" w:line="240" w:lineRule="auto"/>
      </w:pPr>
      <w:r w:rsidRPr="00E97E0B">
        <w:rPr>
          <w:rStyle w:val="FootnoteReference"/>
        </w:rPr>
        <w:footnoteRef/>
      </w:r>
      <w:r w:rsidRPr="00E97E0B">
        <w:t xml:space="preserve"> CIA: The World Factbook. https://www.cia.gov/library/publications/the-world-factbook/geos/tu.html akt. </w:t>
      </w:r>
      <w:bookmarkStart w:id="193" w:name="_Hlk119275922"/>
      <w:bookmarkStart w:id="194" w:name="_Hlk119352828"/>
      <w:r w:rsidRPr="00E97E0B">
        <w:t>Nilay Yürek, “Encounters and Perceptions: A descriptive Study on the Local and Kurdish Residents of Lüleburgaz,” (Yayınlanmış Yüksek Lisans Tezi, Sabancı Üniversitesi, 2014), s. 32.; Fatma Betül Arslan Keskin, “Değişen Kürt Sorunu Algısı: Çözüm Süreci Dönemi (2005-2015),” (Yüksek Lisans Tezi, Ankara Yıldırım Beyazıt Üniversitesi, 2018)</w:t>
      </w:r>
      <w:bookmarkEnd w:id="193"/>
      <w:r w:rsidRPr="00E97E0B">
        <w:t>, 74.</w:t>
      </w:r>
      <w:bookmarkEnd w:id="194"/>
    </w:p>
  </w:footnote>
  <w:footnote w:id="353">
    <w:p w14:paraId="1C4E883B" w14:textId="03F381D0" w:rsidR="003C2413" w:rsidRPr="00E97E0B" w:rsidRDefault="003C2413" w:rsidP="00657BE2">
      <w:pPr>
        <w:pStyle w:val="DipnotMetni1"/>
        <w:spacing w:before="0" w:after="0" w:line="240" w:lineRule="auto"/>
      </w:pPr>
      <w:r w:rsidRPr="00E97E0B">
        <w:rPr>
          <w:rStyle w:val="FootnoteReference"/>
        </w:rPr>
        <w:footnoteRef/>
      </w:r>
      <w:r w:rsidRPr="00E97E0B">
        <w:t xml:space="preserve"> Gökhan Atılgan, Cenk Saraçoğlu, Ateş Uslu vd., </w:t>
      </w:r>
      <w:r w:rsidRPr="00E97E0B">
        <w:rPr>
          <w:i/>
          <w:iCs/>
        </w:rPr>
        <w:t>Osmanlı’dan Günümüze Türkiye’de Siyasal Hayat</w:t>
      </w:r>
      <w:r w:rsidRPr="00E97E0B">
        <w:t xml:space="preserve">, 4. </w:t>
      </w:r>
      <w:r w:rsidR="006D3265" w:rsidRPr="00E97E0B">
        <w:t>bs.</w:t>
      </w:r>
      <w:r w:rsidRPr="00E97E0B">
        <w:t xml:space="preserve">, (İstanbul: </w:t>
      </w:r>
      <w:r w:rsidR="00EC2174" w:rsidRPr="00E97E0B">
        <w:rPr>
          <w:iCs/>
        </w:rPr>
        <w:t>Yordam Yayınları,</w:t>
      </w:r>
      <w:r w:rsidR="00EC2174" w:rsidRPr="00E97E0B">
        <w:t xml:space="preserve"> </w:t>
      </w:r>
      <w:r w:rsidRPr="00E97E0B">
        <w:t>2022), 947, 948, 949.</w:t>
      </w:r>
    </w:p>
  </w:footnote>
  <w:footnote w:id="354">
    <w:p w14:paraId="0BCCF982" w14:textId="3A01435D"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195" w:name="_Hlk119352852"/>
      <w:r w:rsidR="00EC2174" w:rsidRPr="00E97E0B">
        <w:t>“</w:t>
      </w:r>
      <w:r w:rsidRPr="00E97E0B">
        <w:t>Başbakan'ın 2005'te Diyarbakır'daki konuşması,</w:t>
      </w:r>
      <w:r w:rsidR="00EC2174" w:rsidRPr="00E97E0B">
        <w:t>”</w:t>
      </w:r>
      <w:r w:rsidRPr="00E97E0B">
        <w:t xml:space="preserve"> Sabah Gazetesi, 17.12.2009, https://www.sabah.com.tr/siyaset/2009/12/17/basbakanin_2005te_diyarbakirdaki_konusmasi </w:t>
      </w:r>
      <w:bookmarkStart w:id="196" w:name="_Hlk119357758"/>
      <w:r w:rsidRPr="00E97E0B">
        <w:t>[Erişim 26.06.2022]</w:t>
      </w:r>
      <w:bookmarkEnd w:id="195"/>
      <w:bookmarkEnd w:id="196"/>
    </w:p>
  </w:footnote>
  <w:footnote w:id="355">
    <w:p w14:paraId="518C9AEF" w14:textId="437C4475"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197" w:name="_Hlk119352892"/>
      <w:r w:rsidRPr="00E97E0B">
        <w:t xml:space="preserve">İbrahim Karataş, “The Discourse of Brotherhood in Turkish Foreign Policy during the AK Party Era,” </w:t>
      </w:r>
      <w:r w:rsidRPr="00E97E0B">
        <w:rPr>
          <w:i/>
          <w:iCs/>
        </w:rPr>
        <w:t>Üsküdar Üniversitesi Sosyal Bilimler Dergisi,</w:t>
      </w:r>
      <w:r w:rsidRPr="00E97E0B">
        <w:t xml:space="preserve"> s.12, (Mayıs 2021), 37-69, http://doi.org/10.32739/uskudarsbd.7.12.84, 51</w:t>
      </w:r>
      <w:bookmarkEnd w:id="197"/>
    </w:p>
  </w:footnote>
  <w:footnote w:id="356">
    <w:p w14:paraId="1A20B132" w14:textId="052AF172" w:rsidR="003C2413" w:rsidRPr="00E97E0B" w:rsidRDefault="003C2413" w:rsidP="002858AE">
      <w:pPr>
        <w:pStyle w:val="DipnotMetni1"/>
        <w:spacing w:line="240" w:lineRule="auto"/>
      </w:pPr>
      <w:r w:rsidRPr="00E97E0B">
        <w:rPr>
          <w:rStyle w:val="FootnoteReference"/>
        </w:rPr>
        <w:footnoteRef/>
      </w:r>
      <w:r w:rsidRPr="00E97E0B">
        <w:t xml:space="preserve"> “</w:t>
      </w:r>
      <w:bookmarkStart w:id="198" w:name="_Hlk119275853"/>
      <w:bookmarkStart w:id="199" w:name="_Hlk119352905"/>
      <w:r w:rsidRPr="00E97E0B">
        <w:t>Erdoğan Çizgiyi Çekti: Kürt Meselesi Yoktur,” AVİM, 18.04.2011, [Erişim: 05.06.2022] https://avim.org.tr/tr/Bulten/ERDOGAN-CIZGIYI-CEKTI-KURT-MESELESI-YOKTUR</w:t>
      </w:r>
      <w:bookmarkEnd w:id="198"/>
      <w:bookmarkEnd w:id="199"/>
    </w:p>
  </w:footnote>
  <w:footnote w:id="357">
    <w:p w14:paraId="733A93FE" w14:textId="71CC8F46"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00" w:name="_Hlk119275843"/>
      <w:r w:rsidRPr="00E97E0B">
        <w:t xml:space="preserve">Mesut Yeğen, “The Turkish State Discourse and the Exclusion of Kurdish Identity,” </w:t>
      </w:r>
      <w:r w:rsidRPr="00E97E0B">
        <w:rPr>
          <w:i/>
          <w:iCs/>
        </w:rPr>
        <w:t>Middle Eastern Studies</w:t>
      </w:r>
      <w:r w:rsidRPr="00E97E0B">
        <w:t>, c. 32, s</w:t>
      </w:r>
      <w:r w:rsidR="00EC2174" w:rsidRPr="00E97E0B">
        <w:t>. 2,</w:t>
      </w:r>
      <w:r w:rsidRPr="00E97E0B">
        <w:t xml:space="preserve"> (1996), 218.</w:t>
      </w:r>
      <w:bookmarkEnd w:id="200"/>
    </w:p>
  </w:footnote>
  <w:footnote w:id="358">
    <w:p w14:paraId="294C6665" w14:textId="6E01A286"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w:t>
      </w:r>
      <w:r w:rsidRPr="00E97E0B">
        <w:rPr>
          <w:rFonts w:cs="Times New Roman"/>
          <w:sz w:val="21"/>
          <w:szCs w:val="21"/>
        </w:rPr>
        <w:t xml:space="preserve"> 126.</w:t>
      </w:r>
    </w:p>
  </w:footnote>
  <w:footnote w:id="359">
    <w:p w14:paraId="7300F28D" w14:textId="503E2F29" w:rsidR="003C2413" w:rsidRPr="00E97E0B" w:rsidRDefault="003C2413" w:rsidP="00A30C14">
      <w:pPr>
        <w:pStyle w:val="DipnotMetni1"/>
        <w:spacing w:before="0" w:after="0" w:line="240" w:lineRule="auto"/>
      </w:pPr>
      <w:r w:rsidRPr="00E97E0B">
        <w:rPr>
          <w:rStyle w:val="FootnoteReference"/>
        </w:rPr>
        <w:footnoteRef/>
      </w:r>
      <w:r w:rsidRPr="00E97E0B">
        <w:t xml:space="preserve"> </w:t>
      </w:r>
      <w:r w:rsidR="004671D2">
        <w:t>Ibid.</w:t>
      </w:r>
      <w:r w:rsidRPr="00E97E0B">
        <w:t>,</w:t>
      </w:r>
      <w:r w:rsidRPr="00E97E0B">
        <w:rPr>
          <w:rFonts w:cs="Times New Roman"/>
          <w:sz w:val="21"/>
          <w:szCs w:val="21"/>
        </w:rPr>
        <w:t xml:space="preserve"> 136.</w:t>
      </w:r>
    </w:p>
  </w:footnote>
  <w:footnote w:id="360">
    <w:p w14:paraId="0665FE77" w14:textId="3CBC514E" w:rsidR="003C2413" w:rsidRPr="00E97E0B" w:rsidRDefault="003C2413" w:rsidP="00A30C14">
      <w:pPr>
        <w:pStyle w:val="DipnotMetni1"/>
        <w:spacing w:before="0" w:after="0" w:line="240" w:lineRule="auto"/>
      </w:pPr>
      <w:r w:rsidRPr="00E97E0B">
        <w:rPr>
          <w:rStyle w:val="FootnoteReference"/>
        </w:rPr>
        <w:footnoteRef/>
      </w:r>
      <w:r w:rsidRPr="00E97E0B">
        <w:t xml:space="preserve"> </w:t>
      </w:r>
      <w:r w:rsidR="004671D2">
        <w:t>Ibid.</w:t>
      </w:r>
      <w:r w:rsidRPr="00E97E0B">
        <w:t>,</w:t>
      </w:r>
      <w:r w:rsidRPr="00E97E0B">
        <w:rPr>
          <w:rFonts w:cs="Times New Roman"/>
          <w:sz w:val="21"/>
          <w:szCs w:val="21"/>
        </w:rPr>
        <w:t xml:space="preserve"> </w:t>
      </w:r>
      <w:r w:rsidRPr="00E97E0B">
        <w:t>216.</w:t>
      </w:r>
    </w:p>
  </w:footnote>
  <w:footnote w:id="361">
    <w:p w14:paraId="11DFDCCC" w14:textId="3F97FA35" w:rsidR="003C2413" w:rsidRPr="00E97E0B" w:rsidRDefault="003C2413" w:rsidP="00A30C14">
      <w:pPr>
        <w:pStyle w:val="DipnotMetni1"/>
        <w:spacing w:before="0" w:after="0" w:line="240" w:lineRule="auto"/>
      </w:pPr>
      <w:r w:rsidRPr="00E97E0B">
        <w:rPr>
          <w:rStyle w:val="FootnoteReference"/>
        </w:rPr>
        <w:footnoteRef/>
      </w:r>
      <w:r w:rsidRPr="00E97E0B">
        <w:t xml:space="preserve"> </w:t>
      </w:r>
      <w:r w:rsidR="004671D2">
        <w:t>Ibid.</w:t>
      </w:r>
      <w:r w:rsidRPr="00E97E0B">
        <w:t>,</w:t>
      </w:r>
      <w:r w:rsidRPr="00E97E0B">
        <w:rPr>
          <w:rFonts w:cs="Times New Roman"/>
          <w:sz w:val="21"/>
          <w:szCs w:val="21"/>
        </w:rPr>
        <w:t xml:space="preserve"> 137.</w:t>
      </w:r>
    </w:p>
  </w:footnote>
  <w:footnote w:id="362">
    <w:p w14:paraId="54262F1D" w14:textId="149F9C1B" w:rsidR="003C2413" w:rsidRPr="00E97E0B" w:rsidRDefault="003C2413" w:rsidP="002858AE">
      <w:pPr>
        <w:pStyle w:val="DipnotMetni1"/>
        <w:spacing w:line="240" w:lineRule="auto"/>
      </w:pPr>
      <w:r w:rsidRPr="00E97E0B">
        <w:rPr>
          <w:rStyle w:val="FootnoteReference"/>
        </w:rPr>
        <w:footnoteRef/>
      </w:r>
      <w:r w:rsidRPr="00E97E0B">
        <w:t xml:space="preserve"> “</w:t>
      </w:r>
      <w:bookmarkStart w:id="201" w:name="_Hlk119276015"/>
      <w:bookmarkStart w:id="202" w:name="_Hlk119352971"/>
      <w:r w:rsidRPr="00E97E0B">
        <w:t xml:space="preserve">Erdoğan’ın Konuşmasının Tam Metni: Başbakan Erdoğan NTV Ankara Temsilcisi Murat Akgün'ün sorularını yanıtladı.” NTV, 11.06.2009, [Erişim: 01.06.2022], </w:t>
      </w:r>
      <w:r w:rsidRPr="00E97E0B">
        <w:rPr>
          <w:i/>
          <w:iCs/>
        </w:rPr>
        <w:t>NTV</w:t>
      </w:r>
      <w:r w:rsidRPr="00E97E0B">
        <w:t xml:space="preserve"> Gazetesi, https://www.ntv.com.tr/turkiye/mahir-unaldan-elestirilere-yanit,I3re8RYteEusmqI-e-XvKA</w:t>
      </w:r>
      <w:bookmarkEnd w:id="201"/>
      <w:r w:rsidRPr="00E97E0B">
        <w:t xml:space="preserve"> </w:t>
      </w:r>
      <w:bookmarkEnd w:id="202"/>
    </w:p>
  </w:footnote>
  <w:footnote w:id="363">
    <w:p w14:paraId="57EA3D6E" w14:textId="42C85889" w:rsidR="003C2413" w:rsidRPr="00E97E0B" w:rsidRDefault="003C2413" w:rsidP="002858AE">
      <w:pPr>
        <w:pStyle w:val="DipnotMetni1"/>
        <w:spacing w:before="0" w:after="0" w:line="240" w:lineRule="auto"/>
      </w:pPr>
      <w:r w:rsidRPr="00E97E0B">
        <w:rPr>
          <w:rStyle w:val="FootnoteReference"/>
        </w:rPr>
        <w:footnoteRef/>
      </w:r>
      <w:r w:rsidRPr="00E97E0B">
        <w:t xml:space="preserve"> “Erdoğan: Bazı kitaplar vardır ki bombadan daha tesirlidir!” 10 Haziran 2011, T24, https://t24.com.tr/haber/erdogan-bazi-kitaplar-vardir-ki-bombadan-daha-tesirlidir,150308 [Erişim: 10.06.2022].</w:t>
      </w:r>
    </w:p>
  </w:footnote>
  <w:footnote w:id="364">
    <w:p w14:paraId="50439341" w14:textId="5B5AEE9C" w:rsidR="003C2413" w:rsidRPr="00E97E0B" w:rsidRDefault="003C2413" w:rsidP="002858AE">
      <w:pPr>
        <w:pStyle w:val="DipnotMetni1"/>
        <w:spacing w:before="0" w:after="0" w:line="240" w:lineRule="auto"/>
      </w:pPr>
      <w:r w:rsidRPr="00E97E0B">
        <w:rPr>
          <w:rStyle w:val="FootnoteReference"/>
        </w:rPr>
        <w:footnoteRef/>
      </w:r>
      <w:r w:rsidRPr="00E97E0B">
        <w:t xml:space="preserve"> Tanıl Bora, </w:t>
      </w:r>
      <w:r w:rsidRPr="00E97E0B">
        <w:rPr>
          <w:i/>
        </w:rPr>
        <w:t>Cerayanlar: Türkiye’de Siyasi İdeolojiler,</w:t>
      </w:r>
      <w:r w:rsidRPr="00E97E0B">
        <w:t xml:space="preserve"> 2. bs. (İstanbul: İletişim Yayınları, 2017), 882.</w:t>
      </w:r>
    </w:p>
  </w:footnote>
  <w:footnote w:id="365">
    <w:p w14:paraId="4B750CD7" w14:textId="77777777" w:rsidR="003C2413" w:rsidRPr="00E97E0B" w:rsidRDefault="003C2413" w:rsidP="002858AE">
      <w:pPr>
        <w:pStyle w:val="DipnotMetni1"/>
        <w:spacing w:line="240" w:lineRule="auto"/>
      </w:pPr>
      <w:r w:rsidRPr="00E97E0B">
        <w:rPr>
          <w:rStyle w:val="FootnoteReference"/>
        </w:rPr>
        <w:footnoteRef/>
      </w:r>
      <w:r w:rsidRPr="00E97E0B">
        <w:t xml:space="preserve"> “</w:t>
      </w:r>
      <w:bookmarkStart w:id="203" w:name="_Hlk119276066"/>
      <w:r w:rsidRPr="00E97E0B">
        <w:t>Erdoğan Çizgiyi Çekti: Kürt Meselesi Yoktur.” AVİM, 18.04.2011, [Erişim: 05.06.2022], https://avim.org.tr/tr/Bulten/ERDOGAN-CIZGIYI-CEKTI-KURT-MESELESI-YOKTUR</w:t>
      </w:r>
      <w:bookmarkEnd w:id="203"/>
      <w:r w:rsidRPr="00E97E0B">
        <w:t xml:space="preserve"> </w:t>
      </w:r>
    </w:p>
  </w:footnote>
  <w:footnote w:id="366">
    <w:p w14:paraId="647A60FB" w14:textId="6E498482"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Pr="00E97E0B">
        <w:rPr>
          <w:rFonts w:cs="Times New Roman"/>
        </w:rPr>
        <w:t>T.C. Cumhurbaşkanlığı</w:t>
      </w:r>
      <w:r w:rsidRPr="00E97E0B">
        <w:t xml:space="preserve">, </w:t>
      </w:r>
      <w:bookmarkStart w:id="204" w:name="_Hlk119353066"/>
      <w:r w:rsidRPr="00E97E0B">
        <w:t xml:space="preserve">“Elazığ AK Parti İl Mitingi 21 Mart 2009,” </w:t>
      </w:r>
      <w:r w:rsidRPr="00E97E0B">
        <w:rPr>
          <w:i/>
        </w:rPr>
        <w:t>Yeni Türkiye Vizyonu Durmak Yok Yola Devam 1</w:t>
      </w:r>
      <w:r w:rsidRPr="00E97E0B">
        <w:t xml:space="preserve"> içinde, Cumhurbaşkanlığı Yayınları, (2019) 390, 391.</w:t>
      </w:r>
      <w:bookmarkEnd w:id="204"/>
    </w:p>
  </w:footnote>
  <w:footnote w:id="367">
    <w:p w14:paraId="45E764F6" w14:textId="70BC92FD"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05" w:name="_Hlk119353098"/>
      <w:r w:rsidRPr="00E97E0B">
        <w:rPr>
          <w:rFonts w:cs="Times New Roman"/>
        </w:rPr>
        <w:t>T.C. Cumhurbaşkanlığı</w:t>
      </w:r>
      <w:r w:rsidRPr="00E97E0B">
        <w:t xml:space="preserve">, “Ak Parti TBMM Grup Toplantısı 5 Kasım 2011,” </w:t>
      </w:r>
      <w:r w:rsidRPr="00E97E0B">
        <w:rPr>
          <w:i/>
        </w:rPr>
        <w:t xml:space="preserve">Yeni Türkiye Vizyonu Beraber Yürüdük Biz Bu Yollarda 8 </w:t>
      </w:r>
      <w:r w:rsidRPr="00E97E0B">
        <w:rPr>
          <w:iCs/>
        </w:rPr>
        <w:t>içinde</w:t>
      </w:r>
      <w:r w:rsidRPr="00E97E0B">
        <w:t xml:space="preserve">, Cumhurbaşkanlığı Yayınları, (2019), 62; </w:t>
      </w:r>
      <w:r w:rsidRPr="00E97E0B">
        <w:rPr>
          <w:rFonts w:cs="Times New Roman"/>
        </w:rPr>
        <w:t>T.C. Cumhurbaşkanlığı</w:t>
      </w:r>
      <w:r w:rsidRPr="00E97E0B">
        <w:t xml:space="preserve">, “Ak Parti TBMM Grup Toplantısı 10 Ocak 2012,” </w:t>
      </w:r>
      <w:r w:rsidRPr="00E97E0B">
        <w:rPr>
          <w:i/>
        </w:rPr>
        <w:t xml:space="preserve">Yeni Türkiye Vizyonu Beraber Yürüdük Biz Bu Yollarda 8 </w:t>
      </w:r>
      <w:r w:rsidRPr="00E97E0B">
        <w:rPr>
          <w:iCs/>
        </w:rPr>
        <w:t>içinde</w:t>
      </w:r>
      <w:r w:rsidRPr="00E97E0B">
        <w:t>, Cumhurbaşkanlığı Yayınları, (2019), 109.</w:t>
      </w:r>
      <w:bookmarkEnd w:id="205"/>
    </w:p>
  </w:footnote>
  <w:footnote w:id="368">
    <w:p w14:paraId="5918FACC" w14:textId="6BD3582C" w:rsidR="003C2413" w:rsidRPr="00E97E0B" w:rsidRDefault="003C2413" w:rsidP="002858AE">
      <w:pPr>
        <w:pStyle w:val="DipnotMetni1"/>
        <w:spacing w:line="240" w:lineRule="auto"/>
      </w:pPr>
      <w:r w:rsidRPr="00E97E0B">
        <w:rPr>
          <w:rStyle w:val="FootnoteReference"/>
        </w:rPr>
        <w:footnoteRef/>
      </w:r>
      <w:r w:rsidRPr="00E97E0B">
        <w:t xml:space="preserve"> </w:t>
      </w:r>
      <w:bookmarkStart w:id="206" w:name="_Hlk119353130"/>
      <w:r w:rsidRPr="00E97E0B">
        <w:t xml:space="preserve">Ayhan Kaya, “Multiculturalism and Minorities in Turkey,” </w:t>
      </w:r>
      <w:r w:rsidRPr="00E97E0B">
        <w:rPr>
          <w:i/>
          <w:iCs/>
        </w:rPr>
        <w:t>Challenging Multiculturalism</w:t>
      </w:r>
      <w:r w:rsidRPr="00E97E0B">
        <w:t xml:space="preserve"> içinde, ed. Raymond Taras, (Edinburgh</w:t>
      </w:r>
      <w:r w:rsidR="00EC2174" w:rsidRPr="00E97E0B">
        <w:t>: Edinburg</w:t>
      </w:r>
      <w:r w:rsidRPr="00E97E0B">
        <w:t xml:space="preserve"> University Press, 2013), 297.</w:t>
      </w:r>
      <w:bookmarkEnd w:id="206"/>
    </w:p>
  </w:footnote>
  <w:footnote w:id="369">
    <w:p w14:paraId="2E5A3E40" w14:textId="16A6C953"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07" w:name="_Hlk119353148"/>
      <w:r w:rsidRPr="00E97E0B">
        <w:rPr>
          <w:rFonts w:cs="Times New Roman"/>
        </w:rPr>
        <w:t>T.C. Cumhurbaşkanlığı</w:t>
      </w:r>
      <w:r w:rsidRPr="00E97E0B">
        <w:t xml:space="preserve">, </w:t>
      </w:r>
      <w:r w:rsidRPr="00E97E0B">
        <w:rPr>
          <w:i/>
          <w:iCs/>
        </w:rPr>
        <w:t xml:space="preserve">Beraber Yürüdük Biz Bu Yollarda 6 Yeni Türkiye Vizyonu </w:t>
      </w:r>
      <w:r w:rsidRPr="00E97E0B">
        <w:t>içinde, “AK Parti TBMM Grup Toplantısı 26 Şubat 2013, Ankara,” Cumhurbaşkanlığı Yayınları (2019), 331.</w:t>
      </w:r>
      <w:bookmarkEnd w:id="207"/>
    </w:p>
  </w:footnote>
  <w:footnote w:id="370">
    <w:p w14:paraId="5712E46E" w14:textId="2CF65059"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Pr="00E97E0B">
        <w:rPr>
          <w:rFonts w:cs="Times New Roman"/>
        </w:rPr>
        <w:t>T.C. Cumhurbaşkanlığı</w:t>
      </w:r>
      <w:r w:rsidRPr="00E97E0B">
        <w:t xml:space="preserve">, “TBMM Genel Kurulu 2010 Yılı Bütçe Görüşmeleri Açış Konuşması, Ankara, 14 Aralık 2009,” </w:t>
      </w:r>
      <w:r w:rsidRPr="00E97E0B">
        <w:rPr>
          <w:i/>
          <w:iCs/>
        </w:rPr>
        <w:t xml:space="preserve">Yeni Türkiye Vizyonu Efendi Değil </w:t>
      </w:r>
      <w:r w:rsidR="00881AEA" w:rsidRPr="00E97E0B">
        <w:rPr>
          <w:i/>
          <w:iCs/>
        </w:rPr>
        <w:t>Hizmetkâr</w:t>
      </w:r>
      <w:r w:rsidRPr="00E97E0B">
        <w:rPr>
          <w:i/>
          <w:iCs/>
        </w:rPr>
        <w:t xml:space="preserve"> Olmak-6</w:t>
      </w:r>
      <w:r w:rsidRPr="00E97E0B">
        <w:t xml:space="preserve"> içinde, Cumhurbaşkanlığı Yayınları (2019), 12.</w:t>
      </w:r>
    </w:p>
  </w:footnote>
  <w:footnote w:id="371">
    <w:p w14:paraId="0AD23F3C" w14:textId="1C1FC91C" w:rsidR="003C2413" w:rsidRPr="00E97E0B" w:rsidRDefault="003C2413" w:rsidP="002858AE">
      <w:pPr>
        <w:pStyle w:val="DipnotMetni1"/>
        <w:spacing w:line="240" w:lineRule="auto"/>
      </w:pPr>
      <w:r w:rsidRPr="00E97E0B">
        <w:rPr>
          <w:rStyle w:val="FootnoteReference"/>
        </w:rPr>
        <w:footnoteRef/>
      </w:r>
      <w:r w:rsidRPr="00E97E0B">
        <w:t xml:space="preserve"> </w:t>
      </w:r>
      <w:bookmarkStart w:id="208" w:name="_Hlk119353160"/>
      <w:r w:rsidRPr="00E97E0B">
        <w:rPr>
          <w:rFonts w:cs="Times New Roman"/>
        </w:rPr>
        <w:t>T.C. Cumhurbaşkanlığı</w:t>
      </w:r>
      <w:r w:rsidRPr="00E97E0B">
        <w:t xml:space="preserve">, “Milletvekilleri ile Gündem Toplantısı 3 Ağustos 2009 Ankara,” </w:t>
      </w:r>
      <w:r w:rsidRPr="00E97E0B">
        <w:rPr>
          <w:i/>
        </w:rPr>
        <w:t xml:space="preserve">Yeni Türkiye Vizyonu Beraber Yürüdük Biz Bu Yollarda 6 </w:t>
      </w:r>
      <w:r w:rsidRPr="00E97E0B">
        <w:rPr>
          <w:iCs/>
        </w:rPr>
        <w:t>içinde, (2019),</w:t>
      </w:r>
      <w:r w:rsidRPr="00E97E0B">
        <w:rPr>
          <w:i/>
        </w:rPr>
        <w:t xml:space="preserve"> </w:t>
      </w:r>
      <w:r w:rsidRPr="00E97E0B">
        <w:t>94, 95.</w:t>
      </w:r>
      <w:bookmarkEnd w:id="208"/>
    </w:p>
  </w:footnote>
  <w:footnote w:id="372">
    <w:p w14:paraId="3ED08A28" w14:textId="4A64A47E" w:rsidR="003C2413" w:rsidRPr="00E97E0B" w:rsidRDefault="003C2413" w:rsidP="002858AE">
      <w:pPr>
        <w:pStyle w:val="DipnotMetni1"/>
        <w:spacing w:before="0" w:after="0" w:line="240" w:lineRule="auto"/>
      </w:pPr>
      <w:r w:rsidRPr="00E97E0B">
        <w:rPr>
          <w:rStyle w:val="FootnoteReference"/>
        </w:rPr>
        <w:footnoteRef/>
      </w:r>
      <w:r w:rsidRPr="00E97E0B">
        <w:t xml:space="preserve"> John Shindeldecker, “Turkish Alevis Today,” </w:t>
      </w:r>
      <w:r w:rsidR="002567E3" w:rsidRPr="00E97E0B">
        <w:t xml:space="preserve">[Erişim: 14.11.2023], </w:t>
      </w:r>
      <w:r w:rsidRPr="00E97E0B">
        <w:t xml:space="preserve">https://www.alevibektasi.eu/index.php?option=com_content&amp;view=article&amp;id=684:turkish-alevis-today&amp;catid=46:aratrmalar-ingilizce&amp;Itemid=69, 6; Kutluay Erdoğan, Alevilik Bektaşilik, 1. </w:t>
      </w:r>
      <w:r w:rsidR="00833916" w:rsidRPr="00E97E0B">
        <w:t>b</w:t>
      </w:r>
      <w:r w:rsidR="006D3265" w:rsidRPr="00E97E0B">
        <w:t>s.</w:t>
      </w:r>
      <w:r w:rsidRPr="00E97E0B">
        <w:t>, (İstanbul: İletişim Yayınları, 1993), S.41-45; Berna Zengin Arslan, “Aleviliği Tanımlamak: Türkiye’de Dinin Yönetimi, Sekülerlik ve Diyanet,” Mü</w:t>
      </w:r>
      <w:r w:rsidR="002567E3" w:rsidRPr="00E97E0B">
        <w:t>lkiye Dergisi, (Ankara: 2015), c.39, s</w:t>
      </w:r>
      <w:r w:rsidRPr="00E97E0B">
        <w:t>.1, 150.</w:t>
      </w:r>
    </w:p>
  </w:footnote>
  <w:footnote w:id="373">
    <w:p w14:paraId="6151048F" w14:textId="3EE685EF"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10" w:name="_Hlk119353250"/>
      <w:r w:rsidRPr="00E97E0B">
        <w:t xml:space="preserve">Janina Karolewski, “What is Heterodox About Alevism? The Development of Anti-Alevi Discrimination and Resentment,” Die Welt des Islams, New Series, </w:t>
      </w:r>
      <w:r w:rsidRPr="00E97E0B">
        <w:rPr>
          <w:i/>
          <w:iCs/>
        </w:rPr>
        <w:t>The Dynamics of Orthodoxyand Heterodoxy in Islam,</w:t>
      </w:r>
      <w:r w:rsidRPr="00E97E0B">
        <w:t xml:space="preserve"> </w:t>
      </w:r>
      <w:r w:rsidR="002567E3" w:rsidRPr="00E97E0B">
        <w:t>c. 48, s</w:t>
      </w:r>
      <w:r w:rsidRPr="00E97E0B">
        <w:t xml:space="preserve">.3/4, (2008), </w:t>
      </w:r>
      <w:r w:rsidRPr="00E97E0B">
        <w:rPr>
          <w:iCs/>
        </w:rPr>
        <w:t>438, 439,440, 441.</w:t>
      </w:r>
      <w:bookmarkEnd w:id="210"/>
    </w:p>
  </w:footnote>
  <w:footnote w:id="374">
    <w:p w14:paraId="7C28CE98" w14:textId="5D6DD7E7" w:rsidR="003C2413" w:rsidRPr="00E97E0B" w:rsidRDefault="003C2413" w:rsidP="002858AE">
      <w:pPr>
        <w:pStyle w:val="DipnotMetni1"/>
        <w:spacing w:before="0" w:after="0" w:line="240" w:lineRule="auto"/>
      </w:pPr>
      <w:r w:rsidRPr="00E97E0B">
        <w:rPr>
          <w:rStyle w:val="FootnoteReference"/>
        </w:rPr>
        <w:footnoteRef/>
      </w:r>
      <w:r w:rsidRPr="00E97E0B">
        <w:t xml:space="preserve"> Pınar Ecevitoğlu, “Aleviliği Tanımlamanın Dayanılmaz Siyasal Cazibesi,” 148.</w:t>
      </w:r>
    </w:p>
  </w:footnote>
  <w:footnote w:id="375">
    <w:p w14:paraId="448A8598" w14:textId="2FC7F1D7"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140, 141.</w:t>
      </w:r>
    </w:p>
  </w:footnote>
  <w:footnote w:id="376">
    <w:p w14:paraId="1133F31C" w14:textId="1944CF81"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139, 142.</w:t>
      </w:r>
    </w:p>
  </w:footnote>
  <w:footnote w:id="377">
    <w:p w14:paraId="11023950" w14:textId="2069A76D" w:rsidR="003C2413" w:rsidRPr="00E97E0B" w:rsidRDefault="003C2413" w:rsidP="002858AE">
      <w:pPr>
        <w:pStyle w:val="DipnotMetni1"/>
        <w:spacing w:before="0" w:after="0" w:line="240" w:lineRule="auto"/>
      </w:pPr>
      <w:bookmarkStart w:id="211" w:name="_Hlk119276230"/>
      <w:r w:rsidRPr="00E97E0B">
        <w:rPr>
          <w:rStyle w:val="FootnoteReference"/>
        </w:rPr>
        <w:footnoteRef/>
      </w:r>
      <w:r w:rsidRPr="00E97E0B">
        <w:t xml:space="preserve"> </w:t>
      </w:r>
      <w:bookmarkStart w:id="212" w:name="_Hlk119353359"/>
      <w:r w:rsidRPr="00E97E0B">
        <w:t xml:space="preserve">Aykan Erdemir, “Tradition and Modernity: Alevis’ Ambiguous Terms and Turkey’s Ambivalent Subjects” </w:t>
      </w:r>
      <w:r w:rsidRPr="00E97E0B">
        <w:rPr>
          <w:i/>
          <w:iCs/>
        </w:rPr>
        <w:t>Middle Eastern Studies,</w:t>
      </w:r>
      <w:r w:rsidRPr="00E97E0B">
        <w:t xml:space="preserve"> c.  41, s. 6 (Nov., 2005), 937-951</w:t>
      </w:r>
      <w:bookmarkEnd w:id="211"/>
      <w:r w:rsidRPr="00E97E0B">
        <w:t>.</w:t>
      </w:r>
      <w:bookmarkEnd w:id="212"/>
    </w:p>
  </w:footnote>
  <w:footnote w:id="378">
    <w:p w14:paraId="1D5D781F" w14:textId="118CFFA7" w:rsidR="003C2413" w:rsidRPr="00E97E0B" w:rsidRDefault="003C2413" w:rsidP="002858AE">
      <w:pPr>
        <w:pStyle w:val="DipnotMetni1"/>
        <w:spacing w:before="0" w:after="0" w:line="240" w:lineRule="auto"/>
      </w:pPr>
      <w:r w:rsidRPr="00E97E0B">
        <w:rPr>
          <w:rStyle w:val="FootnoteReference"/>
        </w:rPr>
        <w:footnoteRef/>
      </w:r>
      <w:r w:rsidRPr="00E97E0B">
        <w:t xml:space="preserve"> Berna Zengin, “Arslan, Aleviliği Tanımlamak: Türkiye’de Dinin Yönetimi, Sekülerlik ve Diyanet,” 141, 148, 152.</w:t>
      </w:r>
    </w:p>
  </w:footnote>
  <w:footnote w:id="379">
    <w:p w14:paraId="25D610BC" w14:textId="002F7DAE" w:rsidR="003C2413" w:rsidRPr="00E97E0B" w:rsidRDefault="003C2413" w:rsidP="002858AE">
      <w:pPr>
        <w:pStyle w:val="DipnotMetni1"/>
        <w:spacing w:before="0" w:after="0" w:line="240" w:lineRule="auto"/>
      </w:pPr>
      <w:r w:rsidRPr="00E97E0B">
        <w:rPr>
          <w:rStyle w:val="FootnoteReference"/>
        </w:rPr>
        <w:footnoteRef/>
      </w:r>
      <w:r w:rsidRPr="00E97E0B">
        <w:t xml:space="preserve"> Cemal Bali Akal, “Bir Devlet Kuramı için Giriş,” Devlet Kuramı içinde</w:t>
      </w:r>
      <w:r w:rsidR="002567E3" w:rsidRPr="00E97E0B">
        <w:t>, der. Cemal Bali Akal, (Ankara:</w:t>
      </w:r>
      <w:r w:rsidRPr="00E97E0B">
        <w:t xml:space="preserve"> Dost Kitabevi, 2000), 17, 18.</w:t>
      </w:r>
    </w:p>
  </w:footnote>
  <w:footnote w:id="380">
    <w:p w14:paraId="204CBD1D" w14:textId="695E08AF" w:rsidR="003C2413" w:rsidRPr="00E97E0B" w:rsidRDefault="003C2413" w:rsidP="002858AE">
      <w:pPr>
        <w:pStyle w:val="DipnotMetni1"/>
        <w:spacing w:before="0" w:after="0" w:line="240" w:lineRule="auto"/>
      </w:pPr>
      <w:r w:rsidRPr="00E97E0B">
        <w:rPr>
          <w:rStyle w:val="FootnoteReference"/>
        </w:rPr>
        <w:footnoteRef/>
      </w:r>
      <w:r w:rsidRPr="00E97E0B">
        <w:t xml:space="preserve"> Pınar Ecevitoğlu, “Aleviliği Tanımlamanın Dayanılmaz Siyasal Cazibesi,” 139, 155.</w:t>
      </w:r>
    </w:p>
  </w:footnote>
  <w:footnote w:id="381">
    <w:p w14:paraId="3AFFB995" w14:textId="7CB99CAE" w:rsidR="003C2413" w:rsidRPr="00E97E0B" w:rsidRDefault="003C2413" w:rsidP="002858AE">
      <w:pPr>
        <w:pStyle w:val="DipnotMetni1"/>
        <w:spacing w:before="0" w:after="0" w:line="240" w:lineRule="auto"/>
      </w:pPr>
      <w:bookmarkStart w:id="213" w:name="_Hlk119276238"/>
      <w:r w:rsidRPr="00E97E0B">
        <w:rPr>
          <w:rStyle w:val="FootnoteReference"/>
        </w:rPr>
        <w:footnoteRef/>
      </w:r>
      <w:r w:rsidRPr="00E97E0B">
        <w:t xml:space="preserve"> Bilal Sambur, “Özgürlük ve İnsan Hakları Açısından Alevîlik Problemi,” </w:t>
      </w:r>
      <w:r w:rsidRPr="00E97E0B">
        <w:rPr>
          <w:i/>
          <w:iCs/>
        </w:rPr>
        <w:t>Liberal Düşünce</w:t>
      </w:r>
      <w:r w:rsidRPr="00E97E0B">
        <w:t>, c. 14, s. 55, (Yaz 2009), 93, 94.</w:t>
      </w:r>
      <w:bookmarkEnd w:id="213"/>
    </w:p>
  </w:footnote>
  <w:footnote w:id="382">
    <w:p w14:paraId="7F7F5DDF" w14:textId="51000543" w:rsidR="003C2413" w:rsidRPr="00E97E0B" w:rsidRDefault="003C2413" w:rsidP="002858AE">
      <w:pPr>
        <w:pStyle w:val="DipnotMetni1"/>
        <w:spacing w:before="0" w:after="0" w:line="240" w:lineRule="auto"/>
      </w:pPr>
      <w:r w:rsidRPr="00E97E0B">
        <w:rPr>
          <w:rStyle w:val="FootnoteReference"/>
        </w:rPr>
        <w:footnoteRef/>
      </w:r>
      <w:r w:rsidRPr="00E97E0B">
        <w:t xml:space="preserve"> Mostafa Rejai ve Cynthia H. Enloe, “Nation-States and State-Nations,” </w:t>
      </w:r>
      <w:r w:rsidRPr="00E97E0B">
        <w:rPr>
          <w:i/>
          <w:iCs/>
        </w:rPr>
        <w:t>International Studies Quarterly</w:t>
      </w:r>
      <w:r w:rsidRPr="00E97E0B">
        <w:t xml:space="preserve"> c. 13, s. 2 (June 1969), 143.</w:t>
      </w:r>
    </w:p>
  </w:footnote>
  <w:footnote w:id="383">
    <w:p w14:paraId="54411E8F" w14:textId="12B8AFDC" w:rsidR="003C2413" w:rsidRPr="00E97E0B" w:rsidRDefault="003C2413" w:rsidP="002858AE">
      <w:pPr>
        <w:pStyle w:val="DipnotMetni1"/>
        <w:spacing w:before="0" w:after="0" w:line="240" w:lineRule="auto"/>
      </w:pPr>
      <w:r w:rsidRPr="00E97E0B">
        <w:rPr>
          <w:rStyle w:val="FootnoteReference"/>
        </w:rPr>
        <w:footnoteRef/>
      </w:r>
      <w:r w:rsidRPr="00E97E0B">
        <w:t xml:space="preserve"> Anthony Giddens, </w:t>
      </w:r>
      <w:r w:rsidRPr="00E97E0B">
        <w:rPr>
          <w:i/>
        </w:rPr>
        <w:t>A Contemporary Critique of Historical Materialism</w:t>
      </w:r>
      <w:r w:rsidRPr="00E97E0B">
        <w:t xml:space="preserve">, 2. Cilt The Nation-State and Violence, (Cambridge: Polity Press, 1989), 251; Alfred Stepan, Juan J. Linz, Yogendra Yadav, “Comparative “Theory and Political Practice Do We Need a “State-Nation” Model as Wellas a “Nation-State” Model?” </w:t>
      </w:r>
      <w:r w:rsidRPr="00E97E0B">
        <w:rPr>
          <w:i/>
        </w:rPr>
        <w:t>Crafting State-Nations: India and Other Multinational Democracies</w:t>
      </w:r>
      <w:r w:rsidRPr="00E97E0B">
        <w:t xml:space="preserve"> içinde, (</w:t>
      </w:r>
      <w:r w:rsidR="002567E3" w:rsidRPr="00E97E0B">
        <w:t xml:space="preserve">Baltimore, Maryland: </w:t>
      </w:r>
      <w:r w:rsidRPr="00E97E0B">
        <w:t>The Johns Hopkins University Press, 2011), 1, 2.</w:t>
      </w:r>
    </w:p>
  </w:footnote>
  <w:footnote w:id="384">
    <w:p w14:paraId="613E392D" w14:textId="13B7A0A6" w:rsidR="003C2413" w:rsidRPr="00E97E0B" w:rsidRDefault="003C2413" w:rsidP="002858AE">
      <w:pPr>
        <w:pStyle w:val="DipnotMetni1"/>
        <w:spacing w:before="0" w:after="0" w:line="240" w:lineRule="auto"/>
      </w:pPr>
      <w:r w:rsidRPr="00E97E0B">
        <w:rPr>
          <w:rStyle w:val="FootnoteReference"/>
        </w:rPr>
        <w:footnoteRef/>
      </w:r>
      <w:r w:rsidRPr="00E97E0B">
        <w:t xml:space="preserve"> Ayhan Kaya, “Multiculturalism and Minorities in Turkey,” 297, 298, 299, 300.</w:t>
      </w:r>
    </w:p>
  </w:footnote>
  <w:footnote w:id="385">
    <w:p w14:paraId="2B245C66" w14:textId="4ED4271A"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w:t>
      </w:r>
      <w:r w:rsidRPr="00E97E0B">
        <w:rPr>
          <w:i/>
          <w:iCs/>
        </w:rPr>
        <w:t xml:space="preserve"> </w:t>
      </w:r>
      <w:r w:rsidRPr="00E97E0B">
        <w:t>301.</w:t>
      </w:r>
    </w:p>
  </w:footnote>
  <w:footnote w:id="386">
    <w:p w14:paraId="2CF981DC" w14:textId="7A00B987" w:rsidR="003C2413" w:rsidRPr="00E97E0B" w:rsidRDefault="003C2413" w:rsidP="002858AE">
      <w:pPr>
        <w:pStyle w:val="DipnotMetni1"/>
        <w:spacing w:before="0" w:after="0" w:line="240" w:lineRule="auto"/>
      </w:pPr>
      <w:r w:rsidRPr="00E97E0B">
        <w:rPr>
          <w:rStyle w:val="FootnoteReference"/>
        </w:rPr>
        <w:footnoteRef/>
      </w:r>
      <w:r w:rsidRPr="00E97E0B">
        <w:t xml:space="preserve"> Necdet Subaşı, “The Alevi Opening: Concept, Strategy and Process,”</w:t>
      </w:r>
      <w:r w:rsidRPr="00E97E0B">
        <w:rPr>
          <w:i/>
          <w:iCs/>
        </w:rPr>
        <w:t xml:space="preserve"> </w:t>
      </w:r>
      <w:r w:rsidRPr="00E97E0B">
        <w:t>174, 175; Talha Köse, “The AKP and the "Alevi Opening": Understanding the Dynamics of the Rapprochement,” 145, 146.</w:t>
      </w:r>
    </w:p>
  </w:footnote>
  <w:footnote w:id="387">
    <w:p w14:paraId="7AF78F5D" w14:textId="5369865A" w:rsidR="003C2413" w:rsidRPr="00E97E0B" w:rsidRDefault="003C2413" w:rsidP="002858AE">
      <w:pPr>
        <w:pStyle w:val="DipnotMetni1"/>
        <w:spacing w:before="0" w:after="0" w:line="240" w:lineRule="auto"/>
      </w:pPr>
      <w:r w:rsidRPr="00E97E0B">
        <w:rPr>
          <w:rStyle w:val="FootnoteReference"/>
        </w:rPr>
        <w:footnoteRef/>
      </w:r>
      <w:r w:rsidRPr="00E97E0B">
        <w:t xml:space="preserve"> Talha Köse, The AKP and the "Alevi Opening": Understanding the Dynamics of the Rapprochement,” 148, 154, 156.</w:t>
      </w:r>
    </w:p>
  </w:footnote>
  <w:footnote w:id="388">
    <w:p w14:paraId="0643D6B4" w14:textId="17320925"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14" w:name="_Hlk119276307"/>
      <w:r w:rsidRPr="00E97E0B">
        <w:t xml:space="preserve">T.C. Cumhurbaşkanlığı, AK Parti İl Gençlik Kolları 3.Olağan Kongresi’ne Canlı Yayın ile Katılım 19 Şubat 2012 Ankara, </w:t>
      </w:r>
      <w:r w:rsidRPr="00E97E0B">
        <w:rPr>
          <w:i/>
          <w:iCs/>
        </w:rPr>
        <w:t xml:space="preserve">Beraber Yürüdük Biz Bu Yollarda-8 Yeni Türkiye Vizyonu </w:t>
      </w:r>
      <w:r w:rsidRPr="00E97E0B">
        <w:t>içinde, Cumhurbaşkanlığı Yayınları, (2019), 152.</w:t>
      </w:r>
      <w:bookmarkEnd w:id="214"/>
    </w:p>
  </w:footnote>
  <w:footnote w:id="389">
    <w:p w14:paraId="73906ADD" w14:textId="321E2C97"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15" w:name="_Hlk119276335"/>
      <w:r w:rsidRPr="00E97E0B">
        <w:t>TC. Cumhurbaşkanlığı, “</w:t>
      </w:r>
      <w:r w:rsidRPr="00E97E0B">
        <w:rPr>
          <w:iCs/>
        </w:rPr>
        <w:t xml:space="preserve">Ak Parti TBMM Grup Toplantısı Ankara, 12 Ocak 2010,” </w:t>
      </w:r>
      <w:r w:rsidRPr="00E97E0B">
        <w:rPr>
          <w:i/>
          <w:iCs/>
        </w:rPr>
        <w:t xml:space="preserve">Beraber Yürüdük Biz Bu Yollarda -6, Yeni Türkiye Vizyonu </w:t>
      </w:r>
      <w:r w:rsidRPr="00E97E0B">
        <w:t>içinde, Cumhurbaşkanlığı Yayınları, (2019),</w:t>
      </w:r>
      <w:r w:rsidRPr="00E97E0B">
        <w:rPr>
          <w:iCs/>
        </w:rPr>
        <w:t xml:space="preserve"> 245.</w:t>
      </w:r>
      <w:bookmarkEnd w:id="215"/>
    </w:p>
  </w:footnote>
  <w:footnote w:id="390">
    <w:p w14:paraId="06609853" w14:textId="155AA2B7"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16" w:name="_Hlk119276346"/>
      <w:r w:rsidRPr="00E97E0B">
        <w:t xml:space="preserve">TC. Cumhurbaşkanlığı, </w:t>
      </w:r>
      <w:r w:rsidRPr="00E97E0B">
        <w:rPr>
          <w:i/>
          <w:iCs/>
        </w:rPr>
        <w:t>Beraber Yürüdük Biz Bu Yollarda -7,</w:t>
      </w:r>
      <w:r w:rsidRPr="00E97E0B">
        <w:t xml:space="preserve"> </w:t>
      </w:r>
      <w:r w:rsidRPr="00E97E0B">
        <w:rPr>
          <w:i/>
          <w:iCs/>
        </w:rPr>
        <w:t>Yeni Türkiye Vizyonu</w:t>
      </w:r>
      <w:r w:rsidRPr="00E97E0B">
        <w:t xml:space="preserve"> içinde, “AK Parti TBMM Grup Toplantısı Ankara, 29 Haziran 2010,” Cumhurbaşkanlığı Yayınları, (2019), 78.</w:t>
      </w:r>
      <w:bookmarkEnd w:id="216"/>
    </w:p>
  </w:footnote>
  <w:footnote w:id="391">
    <w:p w14:paraId="42C05B54" w14:textId="1D6CAD3B"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17" w:name="_Hlk119353661"/>
      <w:r w:rsidR="002567E3" w:rsidRPr="00E97E0B">
        <w:t>“</w:t>
      </w:r>
      <w:r w:rsidRPr="00E97E0B">
        <w:t>Başbakan Erdoğan’ın Adana İl Kongresi konuşmasının tam metni,</w:t>
      </w:r>
      <w:r w:rsidR="002567E3" w:rsidRPr="00E97E0B">
        <w:t>”</w:t>
      </w:r>
      <w:r w:rsidRPr="00E97E0B">
        <w:t xml:space="preserve"> 7 Mayıs 2012, [Erişim: 28.06.2022], https://silo.tips/download/babakan-erdoan-n-adana-l-kongresi-konumasnn-tam-metni </w:t>
      </w:r>
      <w:bookmarkEnd w:id="217"/>
    </w:p>
  </w:footnote>
  <w:footnote w:id="392">
    <w:p w14:paraId="687C81AD" w14:textId="1182DF0E"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18" w:name="_Hlk119353665"/>
      <w:r w:rsidR="002567E3" w:rsidRPr="00E97E0B">
        <w:t>“</w:t>
      </w:r>
      <w:r w:rsidRPr="00E97E0B">
        <w:t>Türkiye Büyük Millet Meclisi Genel Kurul Tutanağı, 23. Dönem 5. Yasama Yılı 42. Birleşim, 26 Aralık 2010</w:t>
      </w:r>
      <w:r w:rsidR="002567E3" w:rsidRPr="00E97E0B">
        <w:t>,” TBMM</w:t>
      </w:r>
      <w:r w:rsidR="00297DD8" w:rsidRPr="00E97E0B">
        <w:t>,</w:t>
      </w:r>
      <w:r w:rsidRPr="00E97E0B">
        <w:t xml:space="preserve"> [Erişim: 28.06.2022], 64, https://www.tbmm.gov.tr/Tutanaklar/Tutanak?BirlesimSiraNo=20821&amp;BaslangicSayfa=64&amp;BitisSayfa=64&amp;Tur=B  </w:t>
      </w:r>
      <w:bookmarkEnd w:id="218"/>
    </w:p>
  </w:footnote>
  <w:footnote w:id="393">
    <w:p w14:paraId="0B87B3BA" w14:textId="57D98294" w:rsidR="003C2413" w:rsidRPr="00E97E0B" w:rsidRDefault="003C2413" w:rsidP="002858AE">
      <w:pPr>
        <w:pStyle w:val="DipnotMetni1"/>
        <w:spacing w:line="240" w:lineRule="auto"/>
      </w:pPr>
      <w:r w:rsidRPr="00E97E0B">
        <w:rPr>
          <w:rStyle w:val="FootnoteReference"/>
        </w:rPr>
        <w:footnoteRef/>
      </w:r>
      <w:r w:rsidRPr="00E97E0B">
        <w:t xml:space="preserve"> </w:t>
      </w:r>
      <w:bookmarkStart w:id="219" w:name="_Hlk119276384"/>
      <w:r w:rsidRPr="00E97E0B">
        <w:t xml:space="preserve">T.C. Cumhurbaşkanlığı, “AK Parti Genişletilmiş İl Başkanları Toplantısı, Ankara, 23 Kasım 2011,” </w:t>
      </w:r>
      <w:r w:rsidRPr="00E97E0B">
        <w:rPr>
          <w:i/>
          <w:iCs/>
        </w:rPr>
        <w:t xml:space="preserve">Beraber Yürüdük Biz Bu Yollarda-8, Yeni Türkiye Vizyonu </w:t>
      </w:r>
      <w:r w:rsidRPr="00E97E0B">
        <w:t>içinde, Cumhurbaşkanlığı Yayınları, (2019), 89.</w:t>
      </w:r>
      <w:bookmarkEnd w:id="219"/>
    </w:p>
  </w:footnote>
  <w:footnote w:id="394">
    <w:p w14:paraId="70068CEE" w14:textId="664AB45C" w:rsidR="003C2413" w:rsidRPr="00E97E0B" w:rsidRDefault="003C2413" w:rsidP="005C0CF8">
      <w:pPr>
        <w:pStyle w:val="DipnotMetni1"/>
        <w:spacing w:before="0" w:after="0" w:line="240" w:lineRule="auto"/>
      </w:pPr>
      <w:r w:rsidRPr="00E97E0B">
        <w:rPr>
          <w:rStyle w:val="FootnoteReference"/>
        </w:rPr>
        <w:footnoteRef/>
      </w:r>
      <w:r w:rsidRPr="00E97E0B">
        <w:t xml:space="preserve"> “12 Eylül bir kırılma noktası,” </w:t>
      </w:r>
      <w:bookmarkStart w:id="220" w:name="_Hlk119353737"/>
      <w:bookmarkStart w:id="221" w:name="_Hlk119276404"/>
      <w:r w:rsidRPr="00E97E0B">
        <w:t>Yenişafak, [Erişim: 01.07.2022], https://www.yenisafak.com/gundem/12-eylul-bir-kirilma-noktasi-277165;</w:t>
      </w:r>
      <w:bookmarkEnd w:id="220"/>
      <w:r w:rsidRPr="00E97E0B">
        <w:t xml:space="preserve"> “Erdoğan'dan Kazlıçeşme bombaları,” İnternethaber, [Erişim: 01.07.2022],</w:t>
      </w:r>
    </w:p>
    <w:p w14:paraId="5236E5F9" w14:textId="61477B49" w:rsidR="003C2413" w:rsidRPr="00E97E0B" w:rsidRDefault="003C2413" w:rsidP="005C0CF8">
      <w:pPr>
        <w:pStyle w:val="DipnotMetni1"/>
        <w:spacing w:before="0" w:after="0" w:line="240" w:lineRule="auto"/>
      </w:pPr>
      <w:bookmarkStart w:id="222" w:name="_Hlk119353742"/>
      <w:r w:rsidRPr="00E97E0B">
        <w:t xml:space="preserve">https://www.internethaber.com/erdogandan-kazlicesme-bombalari-289723h.htm; </w:t>
      </w:r>
    </w:p>
    <w:p w14:paraId="465986AA" w14:textId="4B63E437" w:rsidR="003C2413" w:rsidRPr="00E97E0B" w:rsidRDefault="003C2413" w:rsidP="005C0CF8">
      <w:pPr>
        <w:pStyle w:val="DipnotMetni1"/>
        <w:spacing w:before="0" w:after="0" w:line="240" w:lineRule="auto"/>
      </w:pPr>
      <w:r w:rsidRPr="00E97E0B">
        <w:t>"Kanıtlamayan şerefsizdir," Haber Türk, [Erişim: 01.07.2022]</w:t>
      </w:r>
    </w:p>
    <w:p w14:paraId="7563AA38" w14:textId="13725445" w:rsidR="003C2413" w:rsidRPr="00E97E0B" w:rsidRDefault="003C2413" w:rsidP="005C0CF8">
      <w:pPr>
        <w:pStyle w:val="DipnotMetni1"/>
        <w:spacing w:before="0" w:after="0" w:line="240" w:lineRule="auto"/>
      </w:pPr>
      <w:bookmarkStart w:id="223" w:name="_Hlk119353748"/>
      <w:bookmarkEnd w:id="222"/>
      <w:r w:rsidRPr="00E97E0B">
        <w:t>https://www.haberturk.com/gundem/haber/549161-kanitlamayan-serefsizdir</w:t>
      </w:r>
      <w:bookmarkEnd w:id="221"/>
      <w:r w:rsidRPr="00E97E0B">
        <w:t xml:space="preserve"> </w:t>
      </w:r>
      <w:bookmarkEnd w:id="223"/>
    </w:p>
  </w:footnote>
  <w:footnote w:id="395">
    <w:p w14:paraId="0B8616F7" w14:textId="4F3A51B6"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24" w:name="_Hlk119276414"/>
      <w:r w:rsidRPr="00E97E0B">
        <w:t xml:space="preserve">“Erdoğan’ın İzmir Mitingi 2014,” </w:t>
      </w:r>
      <w:r w:rsidR="00297DD8" w:rsidRPr="00E97E0B">
        <w:t xml:space="preserve">Youtube, </w:t>
      </w:r>
      <w:r w:rsidRPr="00E97E0B">
        <w:t xml:space="preserve">[Erişim: 01.07.2022],  https://www.youtube.com/watch?v=Z67xUBMeYF4 </w:t>
      </w:r>
      <w:bookmarkEnd w:id="224"/>
    </w:p>
  </w:footnote>
  <w:footnote w:id="396">
    <w:p w14:paraId="322BB582" w14:textId="254C34C6"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25" w:name="_Hlk119276429"/>
      <w:r w:rsidRPr="00E97E0B">
        <w:t xml:space="preserve">T.C. Cumhurbaşkanlığı, </w:t>
      </w:r>
      <w:r w:rsidRPr="00E97E0B">
        <w:rPr>
          <w:i/>
          <w:iCs/>
        </w:rPr>
        <w:t>Yeni Türkiye Vizyonu Durmak Yok Yola Devam-2</w:t>
      </w:r>
      <w:r w:rsidRPr="00E97E0B">
        <w:t xml:space="preserve"> içinde, </w:t>
      </w:r>
      <w:r w:rsidR="00297DD8" w:rsidRPr="00E97E0B">
        <w:t>“</w:t>
      </w:r>
      <w:r w:rsidRPr="00E97E0B">
        <w:t>Çorum AK Parti il mitingi 17 Ağustos 2010,” Cumhurbaşkanlığı Yayınları, (2019), 195.</w:t>
      </w:r>
      <w:bookmarkEnd w:id="225"/>
    </w:p>
  </w:footnote>
  <w:footnote w:id="397">
    <w:p w14:paraId="51DF0368" w14:textId="1317615E"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26" w:name="_Hlk119353817"/>
      <w:r w:rsidRPr="00E97E0B">
        <w:t xml:space="preserve">“Ak Parti Ankara İl Başkanlığının İftar Yemeği 17 Temmuz 2013,” [Erişim: 10.07.2022], https://www.youtube.com/watch?v=94lH2gSsVhM </w:t>
      </w:r>
      <w:bookmarkEnd w:id="226"/>
    </w:p>
  </w:footnote>
  <w:footnote w:id="398">
    <w:p w14:paraId="73929C0C" w14:textId="410D5809" w:rsidR="003C2413" w:rsidRPr="00E97E0B" w:rsidRDefault="003C2413" w:rsidP="002858AE">
      <w:pPr>
        <w:pStyle w:val="DipnotMetni1"/>
        <w:spacing w:before="0" w:after="0" w:line="240" w:lineRule="auto"/>
      </w:pPr>
      <w:r w:rsidRPr="00E97E0B">
        <w:rPr>
          <w:rStyle w:val="FootnoteReference"/>
        </w:rPr>
        <w:footnoteRef/>
      </w:r>
      <w:bookmarkStart w:id="227" w:name="_Hlk119353823"/>
      <w:r w:rsidRPr="00E97E0B">
        <w:t xml:space="preserve">“Başbakan Recep Tayyip Erdoğan’ın Amasya Konuşması,” Hürriyet, 04.05.2011, </w:t>
      </w:r>
      <w:bookmarkStart w:id="228" w:name="_Hlk119357700"/>
      <w:r w:rsidRPr="00E97E0B">
        <w:t>[Erişim: 10.07.2022]</w:t>
      </w:r>
      <w:bookmarkEnd w:id="228"/>
      <w:r w:rsidRPr="00E97E0B">
        <w:t xml:space="preserve">, https://www.hurriyet.com.tr/erdogan-ve-chp-liderinin-aleviligi-17813544 </w:t>
      </w:r>
    </w:p>
    <w:bookmarkEnd w:id="227"/>
  </w:footnote>
  <w:footnote w:id="399">
    <w:p w14:paraId="5A796E72" w14:textId="2CD6212D" w:rsidR="003C2413" w:rsidRPr="00E97E0B" w:rsidRDefault="003C2413" w:rsidP="002858AE">
      <w:pPr>
        <w:pStyle w:val="DipnotMetni1"/>
        <w:spacing w:before="0" w:after="0" w:line="240" w:lineRule="auto"/>
      </w:pPr>
      <w:r w:rsidRPr="00E97E0B">
        <w:rPr>
          <w:rStyle w:val="FootnoteReference"/>
        </w:rPr>
        <w:footnoteRef/>
      </w:r>
      <w:r w:rsidRPr="00E97E0B">
        <w:rPr>
          <w:iCs/>
        </w:rPr>
        <w:t xml:space="preserve"> “</w:t>
      </w:r>
      <w:bookmarkStart w:id="229" w:name="_Hlk119276465"/>
      <w:bookmarkStart w:id="230" w:name="_Hlk119353844"/>
      <w:r w:rsidRPr="00E97E0B">
        <w:rPr>
          <w:iCs/>
        </w:rPr>
        <w:t>Erdoğan: İbadet yeri camidir.” NTV, 21.02.2013,</w:t>
      </w:r>
      <w:r w:rsidRPr="00E97E0B">
        <w:t xml:space="preserve"> [Erişim: 10.07.2022],</w:t>
      </w:r>
      <w:r w:rsidRPr="00E97E0B">
        <w:rPr>
          <w:iCs/>
        </w:rPr>
        <w:t xml:space="preserve"> https://www.ntv.com.tr/turkiye/erdogan-ibadet-yeri-camidir,TkSHrVw3ykm4RIk1uqV_sw</w:t>
      </w:r>
      <w:bookmarkEnd w:id="229"/>
      <w:r w:rsidRPr="00E97E0B">
        <w:rPr>
          <w:iCs/>
        </w:rPr>
        <w:t xml:space="preserve"> </w:t>
      </w:r>
      <w:bookmarkEnd w:id="230"/>
    </w:p>
  </w:footnote>
  <w:footnote w:id="400">
    <w:p w14:paraId="7F8EEF71" w14:textId="29D3F1FA"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31" w:name="_Hlk119276478"/>
      <w:bookmarkStart w:id="232" w:name="_Hlk119353848"/>
      <w:r w:rsidRPr="00E97E0B">
        <w:t xml:space="preserve">Erdoğan'ın anket tepkisi: Fecaat,” Hürriyet, 22.02.2013, [Erişim: 10.07.2022], https://www.hurriyet.com.tr/gundem/erdoganin-anket-tepkisi-fecaat-22653369 </w:t>
      </w:r>
      <w:bookmarkEnd w:id="231"/>
      <w:bookmarkEnd w:id="232"/>
    </w:p>
  </w:footnote>
  <w:footnote w:id="401">
    <w:p w14:paraId="2984AEB3" w14:textId="77777777" w:rsidR="003C2413" w:rsidRPr="00E97E0B" w:rsidRDefault="003C2413" w:rsidP="002858AE">
      <w:pPr>
        <w:pStyle w:val="DipnotMetni1"/>
        <w:spacing w:before="0" w:after="0" w:line="240" w:lineRule="auto"/>
      </w:pPr>
      <w:r w:rsidRPr="00E97E0B">
        <w:rPr>
          <w:rStyle w:val="FootnoteReference"/>
        </w:rPr>
        <w:footnoteRef/>
      </w:r>
      <w:r w:rsidRPr="00E97E0B">
        <w:t xml:space="preserve"> Celia Jenkins, Suavi Aydın ve Umit Cetin, </w:t>
      </w:r>
      <w:r w:rsidRPr="00E97E0B">
        <w:rPr>
          <w:i/>
        </w:rPr>
        <w:t>Alevism as an Ethno-Religious Identity: Contested Boundaries,</w:t>
      </w:r>
      <w:r w:rsidRPr="00E97E0B">
        <w:t xml:space="preserve"> (Oxon: Routledge, 2018), 25, 26.</w:t>
      </w:r>
    </w:p>
    <w:p w14:paraId="622ECB30" w14:textId="77777777" w:rsidR="003C2413" w:rsidRPr="00E97E0B" w:rsidRDefault="003C2413" w:rsidP="002858AE">
      <w:pPr>
        <w:pStyle w:val="DipnotMetni1"/>
      </w:pPr>
    </w:p>
  </w:footnote>
  <w:footnote w:id="402">
    <w:p w14:paraId="3835D930" w14:textId="5639A76E" w:rsidR="003C2413" w:rsidRPr="00E97E0B" w:rsidRDefault="003C2413" w:rsidP="002858AE">
      <w:pPr>
        <w:pStyle w:val="DipnotMetni1"/>
        <w:spacing w:line="240" w:lineRule="auto"/>
      </w:pPr>
      <w:r w:rsidRPr="00E97E0B">
        <w:rPr>
          <w:rStyle w:val="FootnoteReference"/>
        </w:rPr>
        <w:footnoteRef/>
      </w:r>
      <w:r w:rsidRPr="00E97E0B">
        <w:t xml:space="preserve"> “</w:t>
      </w:r>
      <w:bookmarkStart w:id="233" w:name="_Hlk119276490"/>
      <w:bookmarkStart w:id="234" w:name="_Hlk119353875"/>
      <w:r w:rsidRPr="00E97E0B">
        <w:t xml:space="preserve">Başbakan'dan muhalefete: Seçim barajını siz niye kaldırmadınız,” T24, 24.04.2011, [Erişim: 18.07.2022], https://t24.com.tr/haber/basbakandan-muhalefete-secim-barajini-siz-niye-kaldirmadiniz, 140985 </w:t>
      </w:r>
      <w:bookmarkEnd w:id="233"/>
      <w:bookmarkEnd w:id="234"/>
    </w:p>
  </w:footnote>
  <w:footnote w:id="403">
    <w:p w14:paraId="04D9DDBC" w14:textId="780E2F7D"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36" w:name="_Hlk119353898"/>
      <w:r w:rsidRPr="00E97E0B">
        <w:t xml:space="preserve">“Religion and Public Life,” Harvard Divinity School, [Erişim: 05.03.2022], https://rpl.hds.harvard.edu/faq/armenians-turkey-0 </w:t>
      </w:r>
      <w:bookmarkEnd w:id="236"/>
    </w:p>
  </w:footnote>
  <w:footnote w:id="404">
    <w:p w14:paraId="351C19DD" w14:textId="76CE1461"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37" w:name="_Hlk119353920"/>
      <w:r w:rsidRPr="00E97E0B">
        <w:t xml:space="preserve">Sina Akşin, </w:t>
      </w:r>
      <w:r w:rsidR="00297DD8" w:rsidRPr="00E97E0B">
        <w:t>“</w:t>
      </w:r>
      <w:r w:rsidRPr="00E97E0B">
        <w:t>Ermeni Meselesinin Genel Bir Değerlendirmesi,</w:t>
      </w:r>
      <w:r w:rsidR="00297DD8" w:rsidRPr="00E97E0B">
        <w:t>”</w:t>
      </w:r>
      <w:r w:rsidRPr="00E97E0B">
        <w:t xml:space="preserve"> </w:t>
      </w:r>
      <w:r w:rsidRPr="00E97E0B">
        <w:rPr>
          <w:i/>
          <w:iCs/>
        </w:rPr>
        <w:t>Ermeni Araştırmaları</w:t>
      </w:r>
      <w:r w:rsidRPr="00E97E0B">
        <w:t>, s.50, (2015), 91, 92.</w:t>
      </w:r>
      <w:bookmarkEnd w:id="237"/>
    </w:p>
  </w:footnote>
  <w:footnote w:id="405">
    <w:p w14:paraId="1218FF57" w14:textId="6F47C216"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38" w:name="_Hlk119353938"/>
      <w:r w:rsidRPr="00E97E0B">
        <w:t xml:space="preserve">Hayati Aktaş, Vahit Güntay, </w:t>
      </w:r>
      <w:r w:rsidR="00297DD8" w:rsidRPr="00E97E0B">
        <w:t>“</w:t>
      </w:r>
      <w:r w:rsidRPr="00E97E0B">
        <w:t>Türk-Ermeni İlişkilerinde Algılar ve Karar Alıcılar, Tarihin Yansımaları Üzerine Bir Analiz,</w:t>
      </w:r>
      <w:r w:rsidR="00297DD8" w:rsidRPr="00E97E0B">
        <w:t>”</w:t>
      </w:r>
      <w:r w:rsidRPr="00E97E0B">
        <w:t xml:space="preserve"> </w:t>
      </w:r>
      <w:r w:rsidRPr="00E97E0B">
        <w:rPr>
          <w:i/>
          <w:iCs/>
        </w:rPr>
        <w:t>Ermeni Araştırmaları</w:t>
      </w:r>
      <w:r w:rsidRPr="00E97E0B">
        <w:t>, s. 54, (2016), 61, 62, 63, 64.</w:t>
      </w:r>
      <w:bookmarkEnd w:id="238"/>
    </w:p>
  </w:footnote>
  <w:footnote w:id="406">
    <w:p w14:paraId="64086E17" w14:textId="3EDB7C74" w:rsidR="003C2413" w:rsidRPr="00E97E0B" w:rsidRDefault="003C2413" w:rsidP="002858AE">
      <w:pPr>
        <w:pStyle w:val="DipnotMetni1"/>
        <w:spacing w:before="0" w:after="0" w:line="240" w:lineRule="auto"/>
      </w:pPr>
      <w:r w:rsidRPr="00E97E0B">
        <w:rPr>
          <w:rStyle w:val="FootnoteReference"/>
        </w:rPr>
        <w:footnoteRef/>
      </w:r>
      <w:r w:rsidRPr="00E97E0B">
        <w:t xml:space="preserve"> Vahram Ter-Matevosyan, “The Armenian Community and the AK Party: Finding Trust under the Crescent,” </w:t>
      </w:r>
      <w:r w:rsidRPr="00E97E0B">
        <w:rPr>
          <w:i/>
          <w:iCs/>
        </w:rPr>
        <w:t>Insight Turkey</w:t>
      </w:r>
      <w:r w:rsidRPr="00E97E0B">
        <w:t>, c. 12, s. 4, (Fall 2010), 97, 98, 99, 100, 101.</w:t>
      </w:r>
    </w:p>
  </w:footnote>
  <w:footnote w:id="407">
    <w:p w14:paraId="32745F1E" w14:textId="1E011953"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39" w:name="_Hlk119276535"/>
      <w:r w:rsidRPr="00E97E0B">
        <w:t xml:space="preserve">“Erdoğan: Bazı kitaplar vardır ki bombadan daha tesirlidir!” T24, 10 Haziran 2011, https://t24.com.tr/haber/erdogan-bazi-kitaplar-vardir-ki-bombadan-daha-tesirlidir,150308 </w:t>
      </w:r>
      <w:bookmarkEnd w:id="239"/>
    </w:p>
  </w:footnote>
  <w:footnote w:id="408">
    <w:p w14:paraId="3571D7EB" w14:textId="24222186" w:rsidR="003C2413" w:rsidRPr="00E97E0B" w:rsidRDefault="003C2413" w:rsidP="002858AE">
      <w:pPr>
        <w:pStyle w:val="DipnotMetni1"/>
        <w:spacing w:before="0" w:after="0" w:line="240" w:lineRule="auto"/>
      </w:pPr>
      <w:r w:rsidRPr="00E97E0B">
        <w:rPr>
          <w:rStyle w:val="FootnoteReference"/>
        </w:rPr>
        <w:footnoteRef/>
      </w:r>
      <w:r w:rsidRPr="00E97E0B">
        <w:t xml:space="preserve"> “Judaism in Turkey,” Religion and Public Life, Harvard Divinity School, [Erişim: 13.05.2022], https://rpl.hds.harvard.edu/faq/judaism-turkey</w:t>
      </w:r>
    </w:p>
  </w:footnote>
  <w:footnote w:id="409">
    <w:p w14:paraId="6B7519ED" w14:textId="4BAE1077"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42" w:name="_Hlk119354053"/>
      <w:r w:rsidR="00297DD8" w:rsidRPr="00E97E0B">
        <w:t>“</w:t>
      </w:r>
      <w:r w:rsidRPr="00E97E0B">
        <w:t>Erdoğan'dan Yahudilere güvence,</w:t>
      </w:r>
      <w:r w:rsidR="00297DD8" w:rsidRPr="00E97E0B">
        <w:t>”</w:t>
      </w:r>
      <w:r w:rsidRPr="00E97E0B">
        <w:t xml:space="preserve"> </w:t>
      </w:r>
      <w:r w:rsidRPr="00E97E0B">
        <w:rPr>
          <w:i/>
          <w:iCs/>
        </w:rPr>
        <w:t>AA</w:t>
      </w:r>
      <w:r w:rsidRPr="00E97E0B">
        <w:t xml:space="preserve">, 21.06.2012, [Erişim: 18.07.2022], https://www.aa.com.tr/tr/politika/erdogandan-yahudilere-guvence/360291 </w:t>
      </w:r>
      <w:bookmarkEnd w:id="242"/>
    </w:p>
  </w:footnote>
  <w:footnote w:id="410">
    <w:p w14:paraId="067084D9" w14:textId="6BB54EF7"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44" w:name="_Hlk119276558"/>
      <w:r w:rsidRPr="00E97E0B">
        <w:t xml:space="preserve">“The Greek minority of Turkey,” Helenistic Resources Institute, [Erişim: 04.06.2022], http://www.hri.org/MFA/foreign/bilateral/minority.htm </w:t>
      </w:r>
      <w:bookmarkEnd w:id="244"/>
    </w:p>
  </w:footnote>
  <w:footnote w:id="411">
    <w:p w14:paraId="25A5341A" w14:textId="737A3944"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45" w:name="_Hlk119354087"/>
      <w:r w:rsidRPr="00E97E0B">
        <w:t xml:space="preserve">T.C. Cumhurbaşkanlığı, “AK Parti Genişletilmiş İl Başkanları Toplantısı Ankara, 19 Mart 2010,” </w:t>
      </w:r>
      <w:r w:rsidRPr="00E97E0B">
        <w:rPr>
          <w:i/>
          <w:iCs/>
        </w:rPr>
        <w:t xml:space="preserve">Beraber Yürüdük Biz Bu Yollarda-6 Yeni Türkiye Vizyonu </w:t>
      </w:r>
      <w:r w:rsidRPr="00E97E0B">
        <w:t>içinde, Cumhurbaşkanlığı Yayınları, (2019), 325.</w:t>
      </w:r>
      <w:bookmarkEnd w:id="245"/>
    </w:p>
  </w:footnote>
  <w:footnote w:id="412">
    <w:p w14:paraId="4DCC96EC" w14:textId="14122BE4"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46" w:name="_Hlk119354113"/>
      <w:r w:rsidR="00297DD8" w:rsidRPr="00E97E0B">
        <w:t>“</w:t>
      </w:r>
      <w:r w:rsidRPr="00E97E0B">
        <w:t>Erdoğan’dan Ekümenik Çıkışı,</w:t>
      </w:r>
      <w:r w:rsidR="00297DD8" w:rsidRPr="00E97E0B">
        <w:t>”</w:t>
      </w:r>
      <w:r w:rsidRPr="00E97E0B">
        <w:t xml:space="preserve"> CNN TÜRK, Erişim 08.05.2022, [Erişim: 18.07.2022], https://www.cnnturk.com/dunya/basbakan-erdogandan-ekumenik-cikisi</w:t>
      </w:r>
      <w:r w:rsidRPr="00E97E0B">
        <w:rPr>
          <w:rStyle w:val="Kpr1"/>
        </w:rPr>
        <w:t xml:space="preserve"> </w:t>
      </w:r>
      <w:r w:rsidRPr="00E97E0B">
        <w:t xml:space="preserve"> </w:t>
      </w:r>
      <w:bookmarkEnd w:id="246"/>
    </w:p>
  </w:footnote>
  <w:footnote w:id="413">
    <w:p w14:paraId="3CC6AE88" w14:textId="47BA99FD"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“Ak Parti TBMM Grup Toplantısı, Ankara, 1 Aralık 2009,” </w:t>
      </w:r>
      <w:r w:rsidRPr="00E97E0B">
        <w:rPr>
          <w:i/>
          <w:iCs/>
        </w:rPr>
        <w:t xml:space="preserve">Beraber Yürüdük Biz Bu Yollarda-6 Yeni Türkiye Vizyonu </w:t>
      </w:r>
      <w:r w:rsidRPr="00E97E0B">
        <w:t>içinde, Cumhurbaşkanlığı Yayınları, (2019), 217.</w:t>
      </w:r>
    </w:p>
  </w:footnote>
  <w:footnote w:id="414">
    <w:p w14:paraId="2D22663B" w14:textId="68A6E87A"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“Ak Parti İl Kongresi, Ankara, 19 Temmuz 2009,” </w:t>
      </w:r>
      <w:r w:rsidRPr="00E97E0B">
        <w:rPr>
          <w:i/>
          <w:iCs/>
        </w:rPr>
        <w:t>Beraber Yürüdük Biz Bu Yollarda-6</w:t>
      </w:r>
      <w:r w:rsidRPr="00E97E0B">
        <w:t xml:space="preserve"> </w:t>
      </w:r>
      <w:r w:rsidRPr="00E97E0B">
        <w:rPr>
          <w:i/>
          <w:iCs/>
        </w:rPr>
        <w:t xml:space="preserve">Yeni Türkiye Vizyonu </w:t>
      </w:r>
      <w:r w:rsidRPr="00E97E0B">
        <w:t>içinde, Cumhurbaşkanlığı Yayınları, (2019), 81.</w:t>
      </w:r>
    </w:p>
  </w:footnote>
  <w:footnote w:id="415">
    <w:p w14:paraId="1BB8C292" w14:textId="22AC7934"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50" w:name="_Hlk119359132"/>
      <w:r w:rsidRPr="00E97E0B">
        <w:t xml:space="preserve">T.C. Cumhurbaşkanlığı, </w:t>
      </w:r>
      <w:r w:rsidRPr="00E97E0B">
        <w:rPr>
          <w:i/>
          <w:iCs/>
        </w:rPr>
        <w:t xml:space="preserve">Beraber Yürüdük Biz Bu Yollarda-6 Yeni Türkiye Vizyonu </w:t>
      </w:r>
      <w:r w:rsidRPr="00E97E0B">
        <w:t>içinde, “Ak Parti İl Kongresi, Konya, 17 Temmuz 2009,” Cumhurbaşkanlığı Yayınları, (2019), 73.</w:t>
      </w:r>
      <w:bookmarkEnd w:id="250"/>
    </w:p>
  </w:footnote>
  <w:footnote w:id="416">
    <w:p w14:paraId="1A0D2C6A" w14:textId="088FF59F"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52" w:name="_Hlk119359121"/>
      <w:r w:rsidRPr="00E97E0B">
        <w:t xml:space="preserve">T.C. Cumhurbaşkanlığı, “AK Parti Milletvekilleri ile İstişare Toplantısı, Ankara, 24 Temmuz 2009,” </w:t>
      </w:r>
      <w:r w:rsidRPr="00E97E0B">
        <w:rPr>
          <w:i/>
          <w:iCs/>
        </w:rPr>
        <w:t xml:space="preserve">Beraber Yürüdük Biz Bu Yollarda-6 Yeni Türkiye Vizyonu </w:t>
      </w:r>
      <w:r w:rsidRPr="00E97E0B">
        <w:t>içinde, Cumhurbaşkanlığı Yayınları (2019), 88.</w:t>
      </w:r>
      <w:bookmarkEnd w:id="252"/>
    </w:p>
  </w:footnote>
  <w:footnote w:id="417">
    <w:p w14:paraId="066D9C07" w14:textId="4C6CDFAE" w:rsidR="003C2413" w:rsidRPr="00E97E0B" w:rsidRDefault="003C2413" w:rsidP="002858AE">
      <w:pPr>
        <w:pStyle w:val="DipnotMetni1"/>
        <w:spacing w:before="0" w:after="0" w:line="240" w:lineRule="auto"/>
      </w:pPr>
      <w:r w:rsidRPr="00E97E0B">
        <w:rPr>
          <w:rStyle w:val="FootnoteReference"/>
        </w:rPr>
        <w:footnoteRef/>
      </w:r>
      <w:r w:rsidRPr="00E97E0B">
        <w:t xml:space="preserve"> “Başbakan Erdoğan: Yargıya Gerekeni Söyledik,” Cumhuriyet, [Erişim: 20.08.2022], https://www.cumhuriyet.com.tr/haber/basbakan-erdogan-yargiya-gerekeni-soyledik-368660 </w:t>
      </w:r>
    </w:p>
  </w:footnote>
  <w:footnote w:id="418">
    <w:p w14:paraId="360770E4" w14:textId="09975332"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p>
  </w:footnote>
  <w:footnote w:id="419">
    <w:p w14:paraId="5682A515" w14:textId="5FE074B7"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53" w:name="_Hlk119359103"/>
      <w:r w:rsidRPr="00E97E0B">
        <w:t xml:space="preserve">T.C. Cumhurbaşkanlığı, “AK Parti TBMM Grup Toplantısı Ankara 1 Temmuz 2008,” </w:t>
      </w:r>
      <w:r w:rsidRPr="00E97E0B">
        <w:rPr>
          <w:i/>
          <w:iCs/>
        </w:rPr>
        <w:t xml:space="preserve">Beraber Yürüdük Biz Bu Yollarda-5 Yeni Türkiye Vizyonu </w:t>
      </w:r>
      <w:r w:rsidRPr="00E97E0B">
        <w:t>içinde, Cumhurbaşkanlığı Yayınları, (2019), 8.</w:t>
      </w:r>
      <w:bookmarkEnd w:id="253"/>
    </w:p>
  </w:footnote>
  <w:footnote w:id="420">
    <w:p w14:paraId="6D03F0B1" w14:textId="2AD5C48F"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“2006-2007 TBMM Bütçe Görüşmeleri Açılış Konuşması Ankara 15 Aralık 2006,” </w:t>
      </w:r>
      <w:r w:rsidRPr="00E97E0B">
        <w:rPr>
          <w:i/>
          <w:iCs/>
        </w:rPr>
        <w:t xml:space="preserve">Yeni Türkiye Vizyonu Efendi Değil </w:t>
      </w:r>
      <w:r w:rsidR="00881AEA" w:rsidRPr="00E97E0B">
        <w:rPr>
          <w:i/>
          <w:iCs/>
        </w:rPr>
        <w:t>Hizmetkâr</w:t>
      </w:r>
      <w:r w:rsidRPr="00E97E0B">
        <w:rPr>
          <w:i/>
          <w:iCs/>
        </w:rPr>
        <w:t xml:space="preserve"> Olmak-4 </w:t>
      </w:r>
      <w:r w:rsidRPr="00E97E0B">
        <w:t>içinde</w:t>
      </w:r>
      <w:r w:rsidRPr="00E97E0B">
        <w:rPr>
          <w:i/>
          <w:iCs/>
        </w:rPr>
        <w:t>,</w:t>
      </w:r>
      <w:r w:rsidRPr="00E97E0B">
        <w:t xml:space="preserve"> Cumhurbaşkanlığı Yayınları, (2019), 110.</w:t>
      </w:r>
    </w:p>
  </w:footnote>
  <w:footnote w:id="421">
    <w:p w14:paraId="4B359CE1" w14:textId="54A07E98"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“Tüm Sanayici ve İşadamları Derneği (TÜMSİAD) 4. Olağan Genel Kurulu, İstanbul, 29 Nisan 2011,”</w:t>
      </w:r>
      <w:r w:rsidRPr="00E97E0B">
        <w:rPr>
          <w:i/>
          <w:iCs/>
        </w:rPr>
        <w:t xml:space="preserve"> Yeni Türkiye Vizyonu</w:t>
      </w:r>
      <w:r w:rsidRPr="00E97E0B">
        <w:t xml:space="preserve"> </w:t>
      </w:r>
      <w:r w:rsidRPr="00E97E0B">
        <w:rPr>
          <w:i/>
          <w:iCs/>
        </w:rPr>
        <w:t xml:space="preserve">Efendi Değil </w:t>
      </w:r>
      <w:r w:rsidR="00774F2A" w:rsidRPr="00E97E0B">
        <w:rPr>
          <w:i/>
          <w:iCs/>
        </w:rPr>
        <w:t>Hizmetkâr</w:t>
      </w:r>
      <w:r w:rsidRPr="00E97E0B">
        <w:rPr>
          <w:i/>
          <w:iCs/>
        </w:rPr>
        <w:t xml:space="preserve"> Olmak-7 </w:t>
      </w:r>
      <w:r w:rsidRPr="00E97E0B">
        <w:t>içinde, Cumhurbaşkanlığı Yayınları, (2019), 47.</w:t>
      </w:r>
    </w:p>
  </w:footnote>
  <w:footnote w:id="422">
    <w:p w14:paraId="62D030D6" w14:textId="38DCBDC9"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“3 Mayıs 2011 İstanbul TUSKON Genişletilmiş Başkanlar Kurulu Toplantısı” </w:t>
      </w:r>
      <w:r w:rsidRPr="00E97E0B">
        <w:rPr>
          <w:i/>
          <w:iCs/>
        </w:rPr>
        <w:t xml:space="preserve">Yeni Türkiye Vizyonu Efendi Değil </w:t>
      </w:r>
      <w:r w:rsidR="00881AEA" w:rsidRPr="00E97E0B">
        <w:rPr>
          <w:i/>
          <w:iCs/>
        </w:rPr>
        <w:t>Hizmetkâr</w:t>
      </w:r>
      <w:r w:rsidRPr="00E97E0B">
        <w:rPr>
          <w:i/>
          <w:iCs/>
        </w:rPr>
        <w:t xml:space="preserve"> Olmak-7 </w:t>
      </w:r>
      <w:r w:rsidRPr="00E97E0B">
        <w:t>içinde, Cumhurbaşkanlığı Yayınları, (2019), 52, 53.</w:t>
      </w:r>
    </w:p>
  </w:footnote>
  <w:footnote w:id="423">
    <w:p w14:paraId="67EE7E6C" w14:textId="26F94CA8"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w:t>
      </w:r>
      <w:r w:rsidRPr="00E97E0B">
        <w:rPr>
          <w:i/>
          <w:iCs/>
        </w:rPr>
        <w:t>,</w:t>
      </w:r>
      <w:r w:rsidRPr="00E97E0B">
        <w:t xml:space="preserve"> “Tüm Sanayici ve İşadamları Derneği (TÜMSİAD) 4. Olağan Genel Kurulu İstanbul, 29 Nisan 2011,” </w:t>
      </w:r>
      <w:r w:rsidRPr="00E97E0B">
        <w:rPr>
          <w:i/>
          <w:iCs/>
        </w:rPr>
        <w:t xml:space="preserve">Efendi Değil </w:t>
      </w:r>
      <w:r w:rsidR="00774F2A" w:rsidRPr="00E97E0B">
        <w:rPr>
          <w:i/>
          <w:iCs/>
        </w:rPr>
        <w:t>Hizmetkâr</w:t>
      </w:r>
      <w:r w:rsidRPr="00E97E0B">
        <w:rPr>
          <w:i/>
          <w:iCs/>
        </w:rPr>
        <w:t xml:space="preserve"> Olmak-7 Yeni Türkiye Vizyonu </w:t>
      </w:r>
      <w:r w:rsidRPr="00E97E0B">
        <w:t>içinde, Cumhurbaşkanlığı Yayınları, (2019), 47.</w:t>
      </w:r>
    </w:p>
  </w:footnote>
  <w:footnote w:id="424">
    <w:p w14:paraId="4374D8AA" w14:textId="12316248"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“İstanbul–İzmir–Diyarbakır Projeleri Basın Toplantısı</w:t>
      </w:r>
      <w:r w:rsidR="00774F2A" w:rsidRPr="00E97E0B">
        <w:t xml:space="preserve"> </w:t>
      </w:r>
      <w:r w:rsidRPr="00E97E0B">
        <w:t>İstanbul</w:t>
      </w:r>
      <w:r w:rsidR="00774F2A" w:rsidRPr="00E97E0B">
        <w:t>,</w:t>
      </w:r>
      <w:r w:rsidRPr="00E97E0B">
        <w:t xml:space="preserve"> 1 Haziran 2011,” </w:t>
      </w:r>
      <w:r w:rsidRPr="00E97E0B">
        <w:rPr>
          <w:i/>
          <w:iCs/>
        </w:rPr>
        <w:t xml:space="preserve">Efendi Değil </w:t>
      </w:r>
      <w:r w:rsidR="00774F2A" w:rsidRPr="00E97E0B">
        <w:rPr>
          <w:i/>
          <w:iCs/>
        </w:rPr>
        <w:t>Hizmetkâr</w:t>
      </w:r>
      <w:r w:rsidRPr="00E97E0B">
        <w:rPr>
          <w:i/>
          <w:iCs/>
        </w:rPr>
        <w:t xml:space="preserve"> Olmak-7 Yeni Türkiye Vizyonu </w:t>
      </w:r>
      <w:r w:rsidRPr="00E97E0B">
        <w:t>içinde, Cumhurbaşkanlığı Yayınları, (2019), 71.</w:t>
      </w:r>
    </w:p>
  </w:footnote>
  <w:footnote w:id="425">
    <w:p w14:paraId="74A8CD05" w14:textId="51FCF4E9" w:rsidR="003C2413" w:rsidRPr="00E97E0B" w:rsidRDefault="003C2413" w:rsidP="002858AE">
      <w:pPr>
        <w:pStyle w:val="DipnotMetni1"/>
        <w:spacing w:before="0" w:after="0" w:line="240" w:lineRule="auto"/>
      </w:pPr>
      <w:r w:rsidRPr="00E97E0B">
        <w:rPr>
          <w:rStyle w:val="FootnoteReference"/>
        </w:rPr>
        <w:footnoteRef/>
      </w:r>
      <w:r w:rsidRPr="00E97E0B">
        <w:t xml:space="preserve"> </w:t>
      </w:r>
      <w:bookmarkStart w:id="254" w:name="_Hlk119359082"/>
      <w:r w:rsidRPr="00E97E0B">
        <w:t>T.C. Cumhurbaşkanlığı, “MÜSİAD 21. Genel Kurulu İstanbul</w:t>
      </w:r>
      <w:r w:rsidR="00774F2A" w:rsidRPr="00E97E0B">
        <w:t>,</w:t>
      </w:r>
      <w:r w:rsidRPr="00E97E0B">
        <w:t xml:space="preserve"> 28 Nisan 2012,” </w:t>
      </w:r>
      <w:r w:rsidRPr="00E97E0B">
        <w:rPr>
          <w:i/>
          <w:iCs/>
        </w:rPr>
        <w:t xml:space="preserve">Efendi Değil </w:t>
      </w:r>
      <w:r w:rsidR="00774F2A" w:rsidRPr="00E97E0B">
        <w:rPr>
          <w:i/>
          <w:iCs/>
        </w:rPr>
        <w:t>Hizmetkâr</w:t>
      </w:r>
      <w:r w:rsidRPr="00E97E0B">
        <w:rPr>
          <w:i/>
          <w:iCs/>
        </w:rPr>
        <w:t xml:space="preserve"> Olmak-7 Yeni Türkiye Vizyonu </w:t>
      </w:r>
      <w:r w:rsidRPr="00E97E0B">
        <w:t>içinde, Cumhurbaşkanlığı Yayınları, (2019), 283.</w:t>
      </w:r>
      <w:bookmarkEnd w:id="254"/>
    </w:p>
  </w:footnote>
  <w:footnote w:id="426">
    <w:p w14:paraId="0ACE1BCD" w14:textId="7B115F7A"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“Ankara Sanayi Odası 49. Yıl Ödül Töreni Ankara 27 Aralık 2012,” </w:t>
      </w:r>
      <w:r w:rsidRPr="00E97E0B">
        <w:rPr>
          <w:i/>
          <w:iCs/>
        </w:rPr>
        <w:t xml:space="preserve">Efendi Değil </w:t>
      </w:r>
      <w:r w:rsidR="00881AEA" w:rsidRPr="00E97E0B">
        <w:rPr>
          <w:i/>
          <w:iCs/>
        </w:rPr>
        <w:t>Hizmetkâr</w:t>
      </w:r>
      <w:r w:rsidRPr="00E97E0B">
        <w:rPr>
          <w:i/>
          <w:iCs/>
        </w:rPr>
        <w:t xml:space="preserve"> Olmak-7</w:t>
      </w:r>
      <w:r w:rsidRPr="00E97E0B">
        <w:t xml:space="preserve"> </w:t>
      </w:r>
      <w:r w:rsidRPr="00E97E0B">
        <w:rPr>
          <w:i/>
          <w:iCs/>
        </w:rPr>
        <w:t>Yeni Türkiye Vizyonu</w:t>
      </w:r>
      <w:r w:rsidRPr="00E97E0B">
        <w:t xml:space="preserve"> içinde, Cumhurbaşkanlığı Yayınları, (2019), 413.</w:t>
      </w:r>
    </w:p>
  </w:footnote>
  <w:footnote w:id="427">
    <w:p w14:paraId="200D3901" w14:textId="1E36A3AE"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“Ak Parti TBMM Grup Toplantısı, Yeni Türkiye Vizyonu Ankara</w:t>
      </w:r>
      <w:r w:rsidR="00774F2A" w:rsidRPr="00E97E0B">
        <w:t>,</w:t>
      </w:r>
      <w:r w:rsidRPr="00E97E0B">
        <w:t xml:space="preserve"> 26 Ocak 2010,” </w:t>
      </w:r>
      <w:r w:rsidRPr="00E97E0B">
        <w:rPr>
          <w:i/>
          <w:iCs/>
        </w:rPr>
        <w:t xml:space="preserve">Beraber Yürüdük Biz Bu Yollarda-6 Yeni Türkiye Vizyonu </w:t>
      </w:r>
      <w:r w:rsidRPr="00E97E0B">
        <w:t>içinde, Cumhurbaşkanlığı Yayınları, (2019), 262.</w:t>
      </w:r>
    </w:p>
  </w:footnote>
  <w:footnote w:id="428">
    <w:p w14:paraId="36509150" w14:textId="716DEEC3" w:rsidR="003C2413" w:rsidRPr="00E97E0B" w:rsidRDefault="003C2413" w:rsidP="002858AE">
      <w:pPr>
        <w:pStyle w:val="DipnotMetni1"/>
        <w:spacing w:before="0" w:after="0" w:line="240" w:lineRule="auto"/>
      </w:pPr>
      <w:r w:rsidRPr="00E97E0B">
        <w:rPr>
          <w:rStyle w:val="FootnoteReference"/>
        </w:rPr>
        <w:footnoteRef/>
      </w:r>
      <w:r w:rsidRPr="00E97E0B">
        <w:t xml:space="preserve"> Tanıl Bora, “Bir Çerçeve Denemesi,” </w:t>
      </w:r>
      <w:r w:rsidRPr="00E97E0B">
        <w:rPr>
          <w:i/>
          <w:iCs/>
        </w:rPr>
        <w:t>Türk Sağı: Mitler Fetişler Düşman İmgeleri</w:t>
      </w:r>
      <w:r w:rsidRPr="00E97E0B">
        <w:t xml:space="preserve"> içinde (der), İnci Özkan Kerestecioğlu ve Güven Gürkan Öztan, 1.bs. (İstanbul: İletişim Yayınları, 2012), 21, 22.</w:t>
      </w:r>
    </w:p>
  </w:footnote>
  <w:footnote w:id="429">
    <w:p w14:paraId="4BE37B82" w14:textId="0D94B48B" w:rsidR="003C2413" w:rsidRPr="00E97E0B" w:rsidRDefault="003C2413" w:rsidP="0095352A">
      <w:pPr>
        <w:pStyle w:val="DipnotMetni1"/>
        <w:spacing w:before="0" w:after="0" w:line="240" w:lineRule="auto"/>
      </w:pPr>
      <w:r w:rsidRPr="00E97E0B">
        <w:rPr>
          <w:rStyle w:val="FootnoteReference"/>
        </w:rPr>
        <w:footnoteRef/>
      </w:r>
      <w:r w:rsidRPr="00E97E0B">
        <w:t xml:space="preserve"> “Erdoğan'dan MHP'ye: Kafatasçı,” Haber Türk, 04.02.2007, [Erişim: 22.08.2022], https://www.haberturk.com/polemik/haber/13985-erdogandan-mhpye-kafatasci </w:t>
      </w:r>
    </w:p>
  </w:footnote>
  <w:footnote w:id="430">
    <w:p w14:paraId="71061512" w14:textId="6F6A800C" w:rsidR="003C2413" w:rsidRPr="00E97E0B" w:rsidRDefault="003C2413" w:rsidP="0095352A">
      <w:pPr>
        <w:pStyle w:val="DipnotMetni1"/>
        <w:spacing w:before="0" w:after="0" w:line="240" w:lineRule="auto"/>
      </w:pPr>
      <w:r w:rsidRPr="00E97E0B">
        <w:rPr>
          <w:rStyle w:val="FootnoteReference"/>
        </w:rPr>
        <w:footnoteRef/>
      </w:r>
      <w:r w:rsidRPr="00E97E0B">
        <w:t xml:space="preserve"> T.C. Cumhurbaşkanlığı, “TOBB 67. Genel Kurulu Ankara</w:t>
      </w:r>
      <w:r w:rsidR="00774F2A" w:rsidRPr="00E97E0B">
        <w:t>,</w:t>
      </w:r>
      <w:r w:rsidRPr="00E97E0B">
        <w:t xml:space="preserve"> 20 Mayıs 2012,” </w:t>
      </w:r>
      <w:r w:rsidRPr="00E97E0B">
        <w:rPr>
          <w:i/>
          <w:iCs/>
        </w:rPr>
        <w:t xml:space="preserve">Efendi Değil </w:t>
      </w:r>
      <w:r w:rsidR="00881AEA" w:rsidRPr="00E97E0B">
        <w:rPr>
          <w:i/>
          <w:iCs/>
        </w:rPr>
        <w:t>Hizmetkâr</w:t>
      </w:r>
      <w:r w:rsidRPr="00E97E0B">
        <w:rPr>
          <w:i/>
          <w:iCs/>
        </w:rPr>
        <w:t xml:space="preserve"> Olmak-7 Yeni Türkiye Vizyonu</w:t>
      </w:r>
      <w:r w:rsidRPr="00E97E0B">
        <w:t xml:space="preserve"> içinde, Cumhurbaşkanlığı Yayınları, (2019), 48, 49.</w:t>
      </w:r>
    </w:p>
  </w:footnote>
  <w:footnote w:id="431">
    <w:p w14:paraId="1163547E" w14:textId="57AC90BA"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“Genel Yayın Yönetmenleriyle Toplantı Ankara</w:t>
      </w:r>
      <w:r w:rsidR="00774F2A" w:rsidRPr="00E97E0B">
        <w:t>,</w:t>
      </w:r>
      <w:r w:rsidRPr="00E97E0B">
        <w:t xml:space="preserve"> 20 Ekim 2011,” </w:t>
      </w:r>
      <w:r w:rsidRPr="00E97E0B">
        <w:rPr>
          <w:i/>
          <w:iCs/>
        </w:rPr>
        <w:t xml:space="preserve">Efendi Değil </w:t>
      </w:r>
      <w:r w:rsidR="00774F2A" w:rsidRPr="00E97E0B">
        <w:rPr>
          <w:i/>
          <w:iCs/>
        </w:rPr>
        <w:t>Hizmetkâr</w:t>
      </w:r>
      <w:r w:rsidRPr="00E97E0B">
        <w:rPr>
          <w:i/>
          <w:iCs/>
        </w:rPr>
        <w:t xml:space="preserve"> Olmak-7 Yeni Türkiye Vizyonu içinde,</w:t>
      </w:r>
      <w:r w:rsidRPr="00E97E0B">
        <w:t xml:space="preserve"> Cumhurbaşkanlığı Yayınları, (2019), 169.</w:t>
      </w:r>
    </w:p>
  </w:footnote>
  <w:footnote w:id="432">
    <w:p w14:paraId="2AAD307B" w14:textId="2C32C6CB"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“Ak Parti Genişletilmiş İl Başkanları Toplantısı Ankara 20 Kasım 2009,” </w:t>
      </w:r>
      <w:r w:rsidRPr="00E97E0B">
        <w:rPr>
          <w:i/>
          <w:iCs/>
        </w:rPr>
        <w:t>Beraber Yürüdük Biz Bu Yollarda-6 Yeni Türkiye Vizyonu</w:t>
      </w:r>
      <w:r w:rsidRPr="00E97E0B">
        <w:t xml:space="preserve"> içinde, Cumhurbaşkanlığı Yayınları, (2019), 196.</w:t>
      </w:r>
    </w:p>
  </w:footnote>
  <w:footnote w:id="433">
    <w:p w14:paraId="512995D5" w14:textId="65D58AC5"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“Ak Parti Genişletilmiş İl Başkanları Toplantısı Ankara</w:t>
      </w:r>
      <w:r w:rsidR="00774F2A" w:rsidRPr="00E97E0B">
        <w:t>,</w:t>
      </w:r>
      <w:r w:rsidRPr="00E97E0B">
        <w:t xml:space="preserve"> 21 Kasım 2009,” </w:t>
      </w:r>
      <w:r w:rsidRPr="00E97E0B">
        <w:rPr>
          <w:i/>
          <w:iCs/>
        </w:rPr>
        <w:t>Beraber Yürüdük Biz Bu Yollarda-6</w:t>
      </w:r>
      <w:r w:rsidRPr="00E97E0B">
        <w:t xml:space="preserve"> </w:t>
      </w:r>
      <w:r w:rsidRPr="00E97E0B">
        <w:rPr>
          <w:i/>
          <w:iCs/>
        </w:rPr>
        <w:t>Yeni Türkiye Vizyonu</w:t>
      </w:r>
      <w:r w:rsidRPr="00E97E0B">
        <w:t xml:space="preserve"> </w:t>
      </w:r>
      <w:r w:rsidRPr="00E97E0B">
        <w:rPr>
          <w:i/>
          <w:iCs/>
        </w:rPr>
        <w:t>içinde,</w:t>
      </w:r>
      <w:r w:rsidRPr="00E97E0B">
        <w:t xml:space="preserve"> Cumhurbaşkanlığı Yayınları, (2019), 209.</w:t>
      </w:r>
    </w:p>
  </w:footnote>
  <w:footnote w:id="434">
    <w:p w14:paraId="4365DA3B" w14:textId="2E197F17"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“Ak Parti TBMM Grup Toplantısı, Ankara</w:t>
      </w:r>
      <w:r w:rsidR="00774F2A" w:rsidRPr="00E97E0B">
        <w:t>,</w:t>
      </w:r>
      <w:r w:rsidRPr="00E97E0B">
        <w:t xml:space="preserve"> 1 Aralık 2009,” </w:t>
      </w:r>
      <w:r w:rsidRPr="00E97E0B">
        <w:rPr>
          <w:i/>
          <w:iCs/>
        </w:rPr>
        <w:t>Beraber Yürüdük Biz Bu Yollarda-6 Yeni Türkiye Vizyonu</w:t>
      </w:r>
      <w:r w:rsidRPr="00E97E0B">
        <w:t xml:space="preserve"> içinde, Cumhurbaşkanlığı Yayınları, (2019), 218-219.</w:t>
      </w:r>
    </w:p>
  </w:footnote>
  <w:footnote w:id="435">
    <w:p w14:paraId="3571D8B5" w14:textId="7CE0728E" w:rsidR="003C2413" w:rsidRPr="00E97E0B" w:rsidRDefault="003C2413" w:rsidP="002858AE">
      <w:pPr>
        <w:pStyle w:val="DipnotMetni1"/>
        <w:spacing w:before="0" w:after="0" w:line="240" w:lineRule="auto"/>
      </w:pPr>
      <w:r w:rsidRPr="00E97E0B">
        <w:rPr>
          <w:rStyle w:val="FootnoteReference"/>
        </w:rPr>
        <w:footnoteRef/>
      </w:r>
      <w:r w:rsidRPr="00E97E0B">
        <w:t xml:space="preserve"> Ulaş Tol, “Kenstsel Alevilik ve Alevi Gençlerin Kimlik Arayışı,” PODEM İstanbul Gençlik Haritası Serisi: Ankara, 2016), 26.</w:t>
      </w:r>
    </w:p>
  </w:footnote>
  <w:footnote w:id="436">
    <w:p w14:paraId="6B937856" w14:textId="1B3FF570"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“Ak Parti TBMM Grup Toplantısı Ankara</w:t>
      </w:r>
      <w:r w:rsidR="00774F2A" w:rsidRPr="00E97E0B">
        <w:t>,</w:t>
      </w:r>
      <w:r w:rsidRPr="00E97E0B">
        <w:t xml:space="preserve"> 12 Ocak 2010,” </w:t>
      </w:r>
      <w:r w:rsidRPr="00E97E0B">
        <w:rPr>
          <w:i/>
          <w:iCs/>
        </w:rPr>
        <w:t>Beraber Yürüdük Biz Bu Yollarda-6 Yeni Türkiye Vizyonu</w:t>
      </w:r>
      <w:r w:rsidRPr="00E97E0B">
        <w:t xml:space="preserve"> içinde, Cumhurbaşkanlığı Yayınları, (2019), 241-242.</w:t>
      </w:r>
    </w:p>
  </w:footnote>
  <w:footnote w:id="437">
    <w:p w14:paraId="137C5A41" w14:textId="3CC2885D"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w:t>
      </w:r>
      <w:r w:rsidRPr="00E97E0B">
        <w:rPr>
          <w:i/>
          <w:iCs/>
        </w:rPr>
        <w:t>Beraber Yürüdük Biz Bu Yollarda-6 Yeni Türkiye Vizyonu</w:t>
      </w:r>
      <w:r w:rsidRPr="00E97E0B">
        <w:t xml:space="preserve"> içinde, Ak Parti TBMM Grup Toplantısı, Ankara, 26 Ocak 2010, 262.</w:t>
      </w:r>
    </w:p>
  </w:footnote>
  <w:footnote w:id="438">
    <w:p w14:paraId="249F2F61" w14:textId="7153452D"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“Ak Parti TBMM Grup Toplantısı Ankara</w:t>
      </w:r>
      <w:r w:rsidR="00774F2A" w:rsidRPr="00E97E0B">
        <w:t>,</w:t>
      </w:r>
      <w:r w:rsidRPr="00E97E0B">
        <w:t xml:space="preserve"> 2 Şubat 2010,” </w:t>
      </w:r>
      <w:r w:rsidRPr="00E97E0B">
        <w:rPr>
          <w:i/>
          <w:iCs/>
        </w:rPr>
        <w:t xml:space="preserve">Beraber Yürüdük Biz Bu Yollarda-6 Yeni Türkiye Vizyonu </w:t>
      </w:r>
      <w:r w:rsidRPr="00E97E0B">
        <w:t>içinde, Cumhurbaşkanlığı Yayınları (2019), 266, 267.</w:t>
      </w:r>
    </w:p>
  </w:footnote>
  <w:footnote w:id="439">
    <w:p w14:paraId="09E965D2" w14:textId="206D7F82" w:rsidR="003C2413" w:rsidRPr="00E97E0B" w:rsidRDefault="003C2413" w:rsidP="002858AE">
      <w:pPr>
        <w:pStyle w:val="DipnotMetni1"/>
        <w:spacing w:before="0" w:after="0" w:line="240" w:lineRule="auto"/>
      </w:pPr>
      <w:r w:rsidRPr="00E97E0B">
        <w:rPr>
          <w:rStyle w:val="FootnoteReference"/>
        </w:rPr>
        <w:footnoteRef/>
      </w:r>
      <w:r w:rsidRPr="00E97E0B">
        <w:t xml:space="preserve"> </w:t>
      </w:r>
      <w:r w:rsidR="004671D2">
        <w:t>Ibid.</w:t>
      </w:r>
      <w:r w:rsidRPr="00E97E0B">
        <w:t>, 267.</w:t>
      </w:r>
    </w:p>
  </w:footnote>
  <w:footnote w:id="440">
    <w:p w14:paraId="59F3EB00" w14:textId="00F183B2" w:rsidR="003C2413" w:rsidRPr="00E97E0B" w:rsidRDefault="003C2413" w:rsidP="00401C74">
      <w:pPr>
        <w:pStyle w:val="DipnotMetni1"/>
        <w:spacing w:before="0" w:after="0" w:line="240" w:lineRule="auto"/>
      </w:pPr>
      <w:r w:rsidRPr="00E97E0B">
        <w:rPr>
          <w:rStyle w:val="FootnoteReference"/>
        </w:rPr>
        <w:footnoteRef/>
      </w:r>
      <w:r w:rsidRPr="00E97E0B">
        <w:t xml:space="preserve"> “Recep Tayyip Erdoğan'ın 25 Mayıs 2011 tarihli Kırıkkale mitinginde yaptığı konuşma,” Wikikaynak, [Erişim: 20.08.2022], https://tr.wikisource.org/wiki/Recep_Tayyip_Erdo%C4%9Fan%27%C4%B1n_25_May%C4%B1s_2011_tarihli_K%C4%B1r%C4%B1kkale_mitinginde_yapt%C4%B1%C4%9F%C4%B1_konu%C5%9Fma </w:t>
      </w:r>
    </w:p>
  </w:footnote>
  <w:footnote w:id="441">
    <w:p w14:paraId="7D8B444D" w14:textId="2E8A8169" w:rsidR="003C2413" w:rsidRPr="00E97E0B" w:rsidRDefault="003C2413" w:rsidP="00401C74">
      <w:pPr>
        <w:pStyle w:val="DipnotMetni1"/>
        <w:spacing w:before="0" w:after="0" w:line="240" w:lineRule="auto"/>
      </w:pPr>
      <w:r w:rsidRPr="00E97E0B">
        <w:rPr>
          <w:rStyle w:val="FootnoteReference"/>
        </w:rPr>
        <w:footnoteRef/>
      </w:r>
      <w:r w:rsidRPr="00E97E0B">
        <w:t xml:space="preserve"> “Başbakan Erdoğan: Yargıya gerekeni söyledik,” </w:t>
      </w:r>
      <w:r w:rsidRPr="00E97E0B">
        <w:rPr>
          <w:i/>
          <w:iCs/>
        </w:rPr>
        <w:t>Cumhuriyet</w:t>
      </w:r>
      <w:r w:rsidRPr="00E97E0B">
        <w:t xml:space="preserve">, 5.09.2012, [Erişim: 20.08.2022], https://www.cumhuriyet.com.tr/haber/basbakan-erdogan-yargiya-gerekeni-soyledik-368660 </w:t>
      </w:r>
    </w:p>
  </w:footnote>
  <w:footnote w:id="442">
    <w:p w14:paraId="62C82DFD" w14:textId="4EEE0C9B" w:rsidR="003C2413" w:rsidRPr="00E97E0B" w:rsidRDefault="003C2413" w:rsidP="00F03065">
      <w:pPr>
        <w:pStyle w:val="DipnotMetni1"/>
        <w:spacing w:before="0" w:after="0" w:line="240" w:lineRule="auto"/>
      </w:pPr>
      <w:r w:rsidRPr="00E97E0B">
        <w:rPr>
          <w:rStyle w:val="FootnoteReference"/>
        </w:rPr>
        <w:footnoteRef/>
      </w:r>
      <w:r w:rsidRPr="00E97E0B">
        <w:t xml:space="preserve"> “HTSeçim2011, Bölgeler,” Haber Türk, [Erişim 24.12.2022], https://www.haberturk.com/secim/secim2011/genel-secim/bolge/guneydogu-anadolu-bolgesi-6; “Bölgeler,” HTSeçim2011, Haber Türk, https://www.haberturk.com/secim/secim2011/genel-secim/bolge/dogu-anadolu-bolgesi-5 [Erişim 24.12.2022],  </w:t>
      </w:r>
    </w:p>
  </w:footnote>
  <w:footnote w:id="443">
    <w:p w14:paraId="34993208" w14:textId="4C062570" w:rsidR="003C2413" w:rsidRPr="00E97E0B" w:rsidRDefault="003C2413" w:rsidP="00F03065">
      <w:pPr>
        <w:pStyle w:val="DipnotMetni1"/>
        <w:spacing w:before="0" w:after="0" w:line="240" w:lineRule="auto"/>
      </w:pPr>
      <w:r w:rsidRPr="00E97E0B">
        <w:rPr>
          <w:rStyle w:val="FootnoteReference"/>
        </w:rPr>
        <w:footnoteRef/>
      </w:r>
      <w:r w:rsidRPr="00E97E0B">
        <w:t xml:space="preserve"> </w:t>
      </w:r>
      <w:r w:rsidR="004671D2">
        <w:t>Ibid.</w:t>
      </w:r>
      <w:r w:rsidRPr="00E97E0B">
        <w:t xml:space="preserve"> </w:t>
      </w:r>
    </w:p>
  </w:footnote>
  <w:footnote w:id="444">
    <w:p w14:paraId="74211EB1" w14:textId="3A84BDAE"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“İstanbul İzmir Diyarbakır Projeleri Basın Toplantısı, İstanbul, 1 Haziran 2011,” </w:t>
      </w:r>
      <w:r w:rsidRPr="00E97E0B">
        <w:rPr>
          <w:i/>
          <w:iCs/>
        </w:rPr>
        <w:t xml:space="preserve">Efendi Değil </w:t>
      </w:r>
      <w:r w:rsidR="00881AEA" w:rsidRPr="00E97E0B">
        <w:rPr>
          <w:i/>
          <w:iCs/>
        </w:rPr>
        <w:t>Hizmetkâr</w:t>
      </w:r>
      <w:r w:rsidRPr="00E97E0B">
        <w:rPr>
          <w:i/>
          <w:iCs/>
        </w:rPr>
        <w:t xml:space="preserve"> Olmak-7 Yeni Türkiye Vizyonu </w:t>
      </w:r>
      <w:r w:rsidRPr="00E97E0B">
        <w:t>içinde, Cumhurbaşkanlığı Yayınları, (2019) 72.</w:t>
      </w:r>
    </w:p>
  </w:footnote>
  <w:footnote w:id="445">
    <w:p w14:paraId="35A35893" w14:textId="35785301" w:rsidR="003C2413" w:rsidRPr="00E97E0B" w:rsidRDefault="003C2413" w:rsidP="002858AE">
      <w:pPr>
        <w:pStyle w:val="DipnotMetni1"/>
        <w:spacing w:before="0" w:after="0" w:line="240" w:lineRule="auto"/>
      </w:pPr>
      <w:r w:rsidRPr="00E97E0B">
        <w:rPr>
          <w:rStyle w:val="FootnoteReference"/>
        </w:rPr>
        <w:footnoteRef/>
      </w:r>
      <w:r w:rsidRPr="00E97E0B">
        <w:t xml:space="preserve"> T.C. Cumhurbaşkanlığı, “MÜSİAD 21. Genel Kurulu İstanbul 28 Nisan 2012,”</w:t>
      </w:r>
      <w:r w:rsidRPr="00E97E0B">
        <w:rPr>
          <w:i/>
          <w:iCs/>
        </w:rPr>
        <w:t xml:space="preserve"> Efendi Değil </w:t>
      </w:r>
      <w:r w:rsidR="00881AEA" w:rsidRPr="00E97E0B">
        <w:rPr>
          <w:i/>
          <w:iCs/>
        </w:rPr>
        <w:t>Hizmetkâr</w:t>
      </w:r>
      <w:r w:rsidRPr="00E97E0B">
        <w:rPr>
          <w:i/>
          <w:iCs/>
        </w:rPr>
        <w:t xml:space="preserve"> Olmak-7 Yeni Türkiye Vizyonu </w:t>
      </w:r>
      <w:r w:rsidRPr="00E97E0B">
        <w:t>içinde, Cumhurbaşkanlığı Yayınları, (2019), 286.</w:t>
      </w:r>
    </w:p>
  </w:footnote>
  <w:footnote w:id="446">
    <w:p w14:paraId="5689C502" w14:textId="1BBB99FC" w:rsidR="003C2413" w:rsidRPr="004570B6" w:rsidRDefault="003C2413" w:rsidP="002858AE">
      <w:pPr>
        <w:pStyle w:val="DipnotMetni1"/>
        <w:spacing w:before="0" w:after="0" w:line="240" w:lineRule="auto"/>
      </w:pPr>
      <w:r w:rsidRPr="00E97E0B">
        <w:rPr>
          <w:rStyle w:val="FootnoteReference"/>
        </w:rPr>
        <w:footnoteRef/>
      </w:r>
      <w:r w:rsidRPr="00E97E0B">
        <w:t xml:space="preserve"> T.C. Cumhurbaşkanlığı, “TOBB 67. Genel Kurulu, Ankara, 20 Mayıs 2012,” </w:t>
      </w:r>
      <w:r w:rsidRPr="00E97E0B">
        <w:rPr>
          <w:i/>
          <w:iCs/>
        </w:rPr>
        <w:t xml:space="preserve">Efendi Değil </w:t>
      </w:r>
      <w:r w:rsidR="00881AEA" w:rsidRPr="00E97E0B">
        <w:rPr>
          <w:i/>
          <w:iCs/>
        </w:rPr>
        <w:t>Hizmetkâr</w:t>
      </w:r>
      <w:r w:rsidRPr="00E97E0B">
        <w:rPr>
          <w:i/>
          <w:iCs/>
        </w:rPr>
        <w:t xml:space="preserve"> Olmak-7, Yeni Türkiye Vizyonu </w:t>
      </w:r>
      <w:r w:rsidRPr="00E97E0B">
        <w:t>içinde, Cumhurbaşkanlığı Yayınları, (2019), 308.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2252"/>
    <w:multiLevelType w:val="multilevel"/>
    <w:tmpl w:val="A786498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D813627"/>
    <w:multiLevelType w:val="hybridMultilevel"/>
    <w:tmpl w:val="64E2A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77D1F"/>
    <w:multiLevelType w:val="hybridMultilevel"/>
    <w:tmpl w:val="907ED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F7129E"/>
    <w:multiLevelType w:val="hybridMultilevel"/>
    <w:tmpl w:val="867CBCD8"/>
    <w:lvl w:ilvl="0" w:tplc="041F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CE0970"/>
    <w:multiLevelType w:val="hybridMultilevel"/>
    <w:tmpl w:val="5722444C"/>
    <w:lvl w:ilvl="0" w:tplc="6CBE2058">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5" w15:restartNumberingAfterBreak="0">
    <w:nsid w:val="1AD45F1B"/>
    <w:multiLevelType w:val="hybridMultilevel"/>
    <w:tmpl w:val="907ED1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B3F741D"/>
    <w:multiLevelType w:val="hybridMultilevel"/>
    <w:tmpl w:val="35FEB4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1773B"/>
    <w:multiLevelType w:val="multilevel"/>
    <w:tmpl w:val="3FFE41F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FE5641"/>
    <w:multiLevelType w:val="hybridMultilevel"/>
    <w:tmpl w:val="4DD08FF0"/>
    <w:lvl w:ilvl="0" w:tplc="13C26FB8">
      <w:start w:val="1"/>
      <w:numFmt w:val="upperRoman"/>
      <w:pStyle w:val="Bismillahirrahmanirrahim"/>
      <w:lvlText w:val="%1."/>
      <w:lvlJc w:val="left"/>
      <w:pPr>
        <w:ind w:left="2138" w:hanging="360"/>
      </w:pPr>
      <w:rPr>
        <w:rFonts w:ascii="Times New Roman" w:hAnsi="Times New Roman" w:hint="default"/>
        <w:b w:val="0"/>
        <w:i w:val="0"/>
        <w:color w:val="000000" w:themeColor="text1"/>
        <w:sz w:val="24"/>
      </w:rPr>
    </w:lvl>
    <w:lvl w:ilvl="1" w:tplc="041F0003" w:tentative="1">
      <w:start w:val="1"/>
      <w:numFmt w:val="bullet"/>
      <w:lvlText w:val="o"/>
      <w:lvlJc w:val="left"/>
      <w:pPr>
        <w:ind w:left="2858" w:hanging="360"/>
      </w:pPr>
      <w:rPr>
        <w:rFonts w:ascii="Courier New" w:hAnsi="Courier New" w:cs="Arial"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cs="Arial"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cs="Arial" w:hint="default"/>
      </w:rPr>
    </w:lvl>
    <w:lvl w:ilvl="8" w:tplc="041F0005" w:tentative="1">
      <w:start w:val="1"/>
      <w:numFmt w:val="bullet"/>
      <w:lvlText w:val=""/>
      <w:lvlJc w:val="left"/>
      <w:pPr>
        <w:ind w:left="7898" w:hanging="360"/>
      </w:pPr>
      <w:rPr>
        <w:rFonts w:ascii="Wingdings" w:hAnsi="Wingdings" w:hint="default"/>
      </w:rPr>
    </w:lvl>
  </w:abstractNum>
  <w:abstractNum w:abstractNumId="9" w15:restartNumberingAfterBreak="0">
    <w:nsid w:val="27B032E0"/>
    <w:multiLevelType w:val="hybridMultilevel"/>
    <w:tmpl w:val="467A0ED2"/>
    <w:lvl w:ilvl="0" w:tplc="D89696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58385C"/>
    <w:multiLevelType w:val="multilevel"/>
    <w:tmpl w:val="1EE8072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064B93"/>
    <w:multiLevelType w:val="hybridMultilevel"/>
    <w:tmpl w:val="C212BC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767386"/>
    <w:multiLevelType w:val="hybridMultilevel"/>
    <w:tmpl w:val="907ED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75751E"/>
    <w:multiLevelType w:val="hybridMultilevel"/>
    <w:tmpl w:val="907ED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C80972"/>
    <w:multiLevelType w:val="multilevel"/>
    <w:tmpl w:val="33E428B0"/>
    <w:lvl w:ilvl="0">
      <w:start w:val="2"/>
      <w:numFmt w:val="decimal"/>
      <w:lvlText w:val="%1."/>
      <w:lvlJc w:val="left"/>
      <w:pPr>
        <w:ind w:left="720" w:hanging="72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3ECF3AE3"/>
    <w:multiLevelType w:val="hybridMultilevel"/>
    <w:tmpl w:val="830A9E6C"/>
    <w:lvl w:ilvl="0" w:tplc="041F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5A1F15"/>
    <w:multiLevelType w:val="hybridMultilevel"/>
    <w:tmpl w:val="D1123F00"/>
    <w:lvl w:ilvl="0" w:tplc="32F411C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0287BF3"/>
    <w:multiLevelType w:val="hybridMultilevel"/>
    <w:tmpl w:val="907ED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386641"/>
    <w:multiLevelType w:val="hybridMultilevel"/>
    <w:tmpl w:val="907ED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010CA9"/>
    <w:multiLevelType w:val="hybridMultilevel"/>
    <w:tmpl w:val="0CFC607A"/>
    <w:lvl w:ilvl="0" w:tplc="1EC4A8D2">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790099F"/>
    <w:multiLevelType w:val="hybridMultilevel"/>
    <w:tmpl w:val="B46E807E"/>
    <w:lvl w:ilvl="0" w:tplc="8AEC25B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F554D4"/>
    <w:multiLevelType w:val="multilevel"/>
    <w:tmpl w:val="41A47D06"/>
    <w:lvl w:ilvl="0">
      <w:start w:val="2"/>
      <w:numFmt w:val="decimal"/>
      <w:lvlText w:val="%1."/>
      <w:lvlJc w:val="left"/>
      <w:pPr>
        <w:ind w:left="720" w:hanging="72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4"/>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60C36AF9"/>
    <w:multiLevelType w:val="multilevel"/>
    <w:tmpl w:val="66BEE9F8"/>
    <w:lvl w:ilvl="0">
      <w:start w:val="3"/>
      <w:numFmt w:val="decimal"/>
      <w:lvlText w:val="%1."/>
      <w:lvlJc w:val="left"/>
      <w:pPr>
        <w:ind w:left="720" w:hanging="72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68D73B0C"/>
    <w:multiLevelType w:val="hybridMultilevel"/>
    <w:tmpl w:val="907ED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9967686"/>
    <w:multiLevelType w:val="hybridMultilevel"/>
    <w:tmpl w:val="907ED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81175EF"/>
    <w:multiLevelType w:val="multilevel"/>
    <w:tmpl w:val="351E2F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B3105A"/>
    <w:multiLevelType w:val="hybridMultilevel"/>
    <w:tmpl w:val="907ED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274ACF"/>
    <w:multiLevelType w:val="multilevel"/>
    <w:tmpl w:val="71DCA0E6"/>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7F38570E"/>
    <w:multiLevelType w:val="multilevel"/>
    <w:tmpl w:val="14FC7164"/>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
  </w:num>
  <w:num w:numId="3">
    <w:abstractNumId w:val="27"/>
  </w:num>
  <w:num w:numId="4">
    <w:abstractNumId w:val="8"/>
  </w:num>
  <w:num w:numId="5">
    <w:abstractNumId w:val="10"/>
  </w:num>
  <w:num w:numId="6">
    <w:abstractNumId w:val="16"/>
  </w:num>
  <w:num w:numId="7">
    <w:abstractNumId w:val="19"/>
  </w:num>
  <w:num w:numId="8">
    <w:abstractNumId w:val="4"/>
  </w:num>
  <w:num w:numId="9">
    <w:abstractNumId w:val="7"/>
  </w:num>
  <w:num w:numId="10">
    <w:abstractNumId w:val="5"/>
  </w:num>
  <w:num w:numId="11">
    <w:abstractNumId w:val="26"/>
  </w:num>
  <w:num w:numId="12">
    <w:abstractNumId w:val="24"/>
  </w:num>
  <w:num w:numId="13">
    <w:abstractNumId w:val="12"/>
  </w:num>
  <w:num w:numId="14">
    <w:abstractNumId w:val="23"/>
  </w:num>
  <w:num w:numId="15">
    <w:abstractNumId w:val="13"/>
  </w:num>
  <w:num w:numId="16">
    <w:abstractNumId w:val="17"/>
  </w:num>
  <w:num w:numId="17">
    <w:abstractNumId w:val="18"/>
  </w:num>
  <w:num w:numId="18">
    <w:abstractNumId w:val="2"/>
  </w:num>
  <w:num w:numId="19">
    <w:abstractNumId w:val="9"/>
  </w:num>
  <w:num w:numId="20">
    <w:abstractNumId w:val="14"/>
  </w:num>
  <w:num w:numId="21">
    <w:abstractNumId w:val="21"/>
  </w:num>
  <w:num w:numId="22">
    <w:abstractNumId w:val="0"/>
  </w:num>
  <w:num w:numId="23">
    <w:abstractNumId w:val="22"/>
  </w:num>
  <w:num w:numId="24">
    <w:abstractNumId w:val="28"/>
  </w:num>
  <w:num w:numId="25">
    <w:abstractNumId w:val="6"/>
  </w:num>
  <w:num w:numId="26">
    <w:abstractNumId w:val="11"/>
  </w:num>
  <w:num w:numId="27">
    <w:abstractNumId w:val="3"/>
  </w:num>
  <w:num w:numId="28">
    <w:abstractNumId w:val="15"/>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B24"/>
    <w:rsid w:val="000013F1"/>
    <w:rsid w:val="000022F6"/>
    <w:rsid w:val="00006224"/>
    <w:rsid w:val="0001347B"/>
    <w:rsid w:val="00014C85"/>
    <w:rsid w:val="00017D12"/>
    <w:rsid w:val="00021419"/>
    <w:rsid w:val="0002296D"/>
    <w:rsid w:val="000269E5"/>
    <w:rsid w:val="000346A0"/>
    <w:rsid w:val="00034FAC"/>
    <w:rsid w:val="000374B2"/>
    <w:rsid w:val="00042826"/>
    <w:rsid w:val="00045E3B"/>
    <w:rsid w:val="00046DBF"/>
    <w:rsid w:val="00047190"/>
    <w:rsid w:val="0005117B"/>
    <w:rsid w:val="000557C3"/>
    <w:rsid w:val="00055A5B"/>
    <w:rsid w:val="00055D41"/>
    <w:rsid w:val="00056FF4"/>
    <w:rsid w:val="000643A1"/>
    <w:rsid w:val="00067042"/>
    <w:rsid w:val="00067AC3"/>
    <w:rsid w:val="00067BB5"/>
    <w:rsid w:val="00073C6C"/>
    <w:rsid w:val="0007782A"/>
    <w:rsid w:val="000802EE"/>
    <w:rsid w:val="00080DE1"/>
    <w:rsid w:val="000830E0"/>
    <w:rsid w:val="00083328"/>
    <w:rsid w:val="00084489"/>
    <w:rsid w:val="00087046"/>
    <w:rsid w:val="00087CC4"/>
    <w:rsid w:val="0009063E"/>
    <w:rsid w:val="00094508"/>
    <w:rsid w:val="00095577"/>
    <w:rsid w:val="00095891"/>
    <w:rsid w:val="00097511"/>
    <w:rsid w:val="000A0141"/>
    <w:rsid w:val="000A1F4C"/>
    <w:rsid w:val="000A2DF2"/>
    <w:rsid w:val="000A3397"/>
    <w:rsid w:val="000A540A"/>
    <w:rsid w:val="000B0C2E"/>
    <w:rsid w:val="000B3BB9"/>
    <w:rsid w:val="000B4377"/>
    <w:rsid w:val="000B465B"/>
    <w:rsid w:val="000B69E6"/>
    <w:rsid w:val="000B6C16"/>
    <w:rsid w:val="000B6C67"/>
    <w:rsid w:val="000B78BD"/>
    <w:rsid w:val="000B7F5D"/>
    <w:rsid w:val="000C01AB"/>
    <w:rsid w:val="000C07BB"/>
    <w:rsid w:val="000C38B1"/>
    <w:rsid w:val="000D13DB"/>
    <w:rsid w:val="000D1867"/>
    <w:rsid w:val="000D1FC0"/>
    <w:rsid w:val="000D29DD"/>
    <w:rsid w:val="000D594E"/>
    <w:rsid w:val="000D7B08"/>
    <w:rsid w:val="000E44CD"/>
    <w:rsid w:val="000E6AAE"/>
    <w:rsid w:val="000E76ED"/>
    <w:rsid w:val="000F2448"/>
    <w:rsid w:val="000F602F"/>
    <w:rsid w:val="000F6A8B"/>
    <w:rsid w:val="000F7E3B"/>
    <w:rsid w:val="00102E65"/>
    <w:rsid w:val="0010368E"/>
    <w:rsid w:val="00105768"/>
    <w:rsid w:val="00105B6C"/>
    <w:rsid w:val="00105E81"/>
    <w:rsid w:val="00106D6C"/>
    <w:rsid w:val="00112D1D"/>
    <w:rsid w:val="001145D8"/>
    <w:rsid w:val="00115735"/>
    <w:rsid w:val="00116953"/>
    <w:rsid w:val="00121EA8"/>
    <w:rsid w:val="00123F4C"/>
    <w:rsid w:val="001267ED"/>
    <w:rsid w:val="001271A1"/>
    <w:rsid w:val="00127DF1"/>
    <w:rsid w:val="001367DD"/>
    <w:rsid w:val="00137C76"/>
    <w:rsid w:val="00140704"/>
    <w:rsid w:val="001407C3"/>
    <w:rsid w:val="00140CEB"/>
    <w:rsid w:val="00144099"/>
    <w:rsid w:val="00146DBF"/>
    <w:rsid w:val="0014721C"/>
    <w:rsid w:val="00150BDE"/>
    <w:rsid w:val="00152CE4"/>
    <w:rsid w:val="00154E71"/>
    <w:rsid w:val="00155579"/>
    <w:rsid w:val="00160B24"/>
    <w:rsid w:val="00161AA9"/>
    <w:rsid w:val="00161DB1"/>
    <w:rsid w:val="0016332D"/>
    <w:rsid w:val="0016514C"/>
    <w:rsid w:val="00166ACB"/>
    <w:rsid w:val="00167039"/>
    <w:rsid w:val="001700BA"/>
    <w:rsid w:val="00170CD3"/>
    <w:rsid w:val="00173C94"/>
    <w:rsid w:val="0017679C"/>
    <w:rsid w:val="00176A33"/>
    <w:rsid w:val="00177874"/>
    <w:rsid w:val="00181921"/>
    <w:rsid w:val="00183831"/>
    <w:rsid w:val="00184BB3"/>
    <w:rsid w:val="00184F89"/>
    <w:rsid w:val="00185F2A"/>
    <w:rsid w:val="0018627D"/>
    <w:rsid w:val="00186F93"/>
    <w:rsid w:val="00187E18"/>
    <w:rsid w:val="00187E5C"/>
    <w:rsid w:val="0019121A"/>
    <w:rsid w:val="00192DE2"/>
    <w:rsid w:val="00193259"/>
    <w:rsid w:val="00194617"/>
    <w:rsid w:val="00194973"/>
    <w:rsid w:val="001964BF"/>
    <w:rsid w:val="00196642"/>
    <w:rsid w:val="001A01AD"/>
    <w:rsid w:val="001A097D"/>
    <w:rsid w:val="001A1BC2"/>
    <w:rsid w:val="001A2DFA"/>
    <w:rsid w:val="001A4A5E"/>
    <w:rsid w:val="001A5140"/>
    <w:rsid w:val="001A7C65"/>
    <w:rsid w:val="001A7E15"/>
    <w:rsid w:val="001A7F22"/>
    <w:rsid w:val="001B01AD"/>
    <w:rsid w:val="001B18FB"/>
    <w:rsid w:val="001B1BBE"/>
    <w:rsid w:val="001B31C4"/>
    <w:rsid w:val="001B41BB"/>
    <w:rsid w:val="001B44D0"/>
    <w:rsid w:val="001B58D1"/>
    <w:rsid w:val="001B76D2"/>
    <w:rsid w:val="001B7B3B"/>
    <w:rsid w:val="001B7CFF"/>
    <w:rsid w:val="001C0B6C"/>
    <w:rsid w:val="001C0FB5"/>
    <w:rsid w:val="001C2764"/>
    <w:rsid w:val="001C27B5"/>
    <w:rsid w:val="001C35E8"/>
    <w:rsid w:val="001D012F"/>
    <w:rsid w:val="001D0F4F"/>
    <w:rsid w:val="001D21D0"/>
    <w:rsid w:val="001D5272"/>
    <w:rsid w:val="001D58CF"/>
    <w:rsid w:val="001D6A2A"/>
    <w:rsid w:val="001D7596"/>
    <w:rsid w:val="001D7621"/>
    <w:rsid w:val="001E354B"/>
    <w:rsid w:val="001E6F7E"/>
    <w:rsid w:val="001E7A4A"/>
    <w:rsid w:val="001F0D06"/>
    <w:rsid w:val="001F160B"/>
    <w:rsid w:val="001F2632"/>
    <w:rsid w:val="001F54BB"/>
    <w:rsid w:val="001F6980"/>
    <w:rsid w:val="001F6CA8"/>
    <w:rsid w:val="001F7A3D"/>
    <w:rsid w:val="002050EB"/>
    <w:rsid w:val="002072EB"/>
    <w:rsid w:val="00207482"/>
    <w:rsid w:val="00207D41"/>
    <w:rsid w:val="00210DF0"/>
    <w:rsid w:val="0021196C"/>
    <w:rsid w:val="002129BF"/>
    <w:rsid w:val="00215F62"/>
    <w:rsid w:val="00223112"/>
    <w:rsid w:val="002338DD"/>
    <w:rsid w:val="0023482C"/>
    <w:rsid w:val="0023531C"/>
    <w:rsid w:val="00235C77"/>
    <w:rsid w:val="00236136"/>
    <w:rsid w:val="0023685F"/>
    <w:rsid w:val="00236EB7"/>
    <w:rsid w:val="00237962"/>
    <w:rsid w:val="00240168"/>
    <w:rsid w:val="00240E26"/>
    <w:rsid w:val="0024142B"/>
    <w:rsid w:val="00243ECA"/>
    <w:rsid w:val="002453C4"/>
    <w:rsid w:val="002455F9"/>
    <w:rsid w:val="002459E1"/>
    <w:rsid w:val="0024654B"/>
    <w:rsid w:val="002514B5"/>
    <w:rsid w:val="00252F96"/>
    <w:rsid w:val="00256650"/>
    <w:rsid w:val="002567E3"/>
    <w:rsid w:val="00256A30"/>
    <w:rsid w:val="0026223E"/>
    <w:rsid w:val="00262685"/>
    <w:rsid w:val="00263DFD"/>
    <w:rsid w:val="00264324"/>
    <w:rsid w:val="002676F6"/>
    <w:rsid w:val="00270153"/>
    <w:rsid w:val="00270D48"/>
    <w:rsid w:val="00273C1D"/>
    <w:rsid w:val="00275732"/>
    <w:rsid w:val="00277589"/>
    <w:rsid w:val="00277C2E"/>
    <w:rsid w:val="002825DB"/>
    <w:rsid w:val="00283385"/>
    <w:rsid w:val="00284C30"/>
    <w:rsid w:val="002858AE"/>
    <w:rsid w:val="00285B1F"/>
    <w:rsid w:val="0028627B"/>
    <w:rsid w:val="00286CDB"/>
    <w:rsid w:val="00290CE0"/>
    <w:rsid w:val="00290E52"/>
    <w:rsid w:val="00291E2D"/>
    <w:rsid w:val="00297DD8"/>
    <w:rsid w:val="002A09FC"/>
    <w:rsid w:val="002A1E2F"/>
    <w:rsid w:val="002A6525"/>
    <w:rsid w:val="002B0EC7"/>
    <w:rsid w:val="002B26AF"/>
    <w:rsid w:val="002B40A2"/>
    <w:rsid w:val="002B42F3"/>
    <w:rsid w:val="002B5FAB"/>
    <w:rsid w:val="002B6228"/>
    <w:rsid w:val="002B6852"/>
    <w:rsid w:val="002B6A07"/>
    <w:rsid w:val="002B6E6D"/>
    <w:rsid w:val="002B6E7D"/>
    <w:rsid w:val="002B7613"/>
    <w:rsid w:val="002B7942"/>
    <w:rsid w:val="002B7FA9"/>
    <w:rsid w:val="002C08F9"/>
    <w:rsid w:val="002C0DA7"/>
    <w:rsid w:val="002C297E"/>
    <w:rsid w:val="002C6DCE"/>
    <w:rsid w:val="002D16BB"/>
    <w:rsid w:val="002D57CD"/>
    <w:rsid w:val="002D74CF"/>
    <w:rsid w:val="002D7C9B"/>
    <w:rsid w:val="002E0043"/>
    <w:rsid w:val="002E49A6"/>
    <w:rsid w:val="002E550F"/>
    <w:rsid w:val="002E5E6B"/>
    <w:rsid w:val="002E61F8"/>
    <w:rsid w:val="002F16B0"/>
    <w:rsid w:val="002F5247"/>
    <w:rsid w:val="003004D4"/>
    <w:rsid w:val="00301CB4"/>
    <w:rsid w:val="00301E79"/>
    <w:rsid w:val="00302BF6"/>
    <w:rsid w:val="00303F45"/>
    <w:rsid w:val="00306599"/>
    <w:rsid w:val="00312C55"/>
    <w:rsid w:val="003153BD"/>
    <w:rsid w:val="00315BB5"/>
    <w:rsid w:val="003170A9"/>
    <w:rsid w:val="0032037A"/>
    <w:rsid w:val="003211FB"/>
    <w:rsid w:val="00321B18"/>
    <w:rsid w:val="00321C97"/>
    <w:rsid w:val="003228E6"/>
    <w:rsid w:val="00322F0F"/>
    <w:rsid w:val="003230E0"/>
    <w:rsid w:val="00324F82"/>
    <w:rsid w:val="00330347"/>
    <w:rsid w:val="00330C95"/>
    <w:rsid w:val="00330D8B"/>
    <w:rsid w:val="00332223"/>
    <w:rsid w:val="003347C7"/>
    <w:rsid w:val="003414EF"/>
    <w:rsid w:val="00342A1A"/>
    <w:rsid w:val="00344286"/>
    <w:rsid w:val="00344E7D"/>
    <w:rsid w:val="00346C61"/>
    <w:rsid w:val="00347191"/>
    <w:rsid w:val="00347F8D"/>
    <w:rsid w:val="00351097"/>
    <w:rsid w:val="00352565"/>
    <w:rsid w:val="003562E2"/>
    <w:rsid w:val="0036285F"/>
    <w:rsid w:val="00362EDC"/>
    <w:rsid w:val="003662B0"/>
    <w:rsid w:val="003719BE"/>
    <w:rsid w:val="00371B3E"/>
    <w:rsid w:val="00372281"/>
    <w:rsid w:val="0037615F"/>
    <w:rsid w:val="00376C26"/>
    <w:rsid w:val="003770A6"/>
    <w:rsid w:val="00380757"/>
    <w:rsid w:val="00381F6A"/>
    <w:rsid w:val="0038213D"/>
    <w:rsid w:val="0038644C"/>
    <w:rsid w:val="00386525"/>
    <w:rsid w:val="00390348"/>
    <w:rsid w:val="0039090E"/>
    <w:rsid w:val="00390A8C"/>
    <w:rsid w:val="00396FCE"/>
    <w:rsid w:val="003A1691"/>
    <w:rsid w:val="003A456D"/>
    <w:rsid w:val="003A5108"/>
    <w:rsid w:val="003A5703"/>
    <w:rsid w:val="003A5884"/>
    <w:rsid w:val="003A6ADC"/>
    <w:rsid w:val="003A6B35"/>
    <w:rsid w:val="003A7368"/>
    <w:rsid w:val="003B099D"/>
    <w:rsid w:val="003B15B6"/>
    <w:rsid w:val="003B4631"/>
    <w:rsid w:val="003B7C46"/>
    <w:rsid w:val="003C04BC"/>
    <w:rsid w:val="003C1118"/>
    <w:rsid w:val="003C2413"/>
    <w:rsid w:val="003C283D"/>
    <w:rsid w:val="003C2FAD"/>
    <w:rsid w:val="003C353F"/>
    <w:rsid w:val="003C3CD2"/>
    <w:rsid w:val="003C6D3A"/>
    <w:rsid w:val="003D37E0"/>
    <w:rsid w:val="003D5F13"/>
    <w:rsid w:val="003D69F9"/>
    <w:rsid w:val="003D6AD2"/>
    <w:rsid w:val="003D7115"/>
    <w:rsid w:val="003D7AFF"/>
    <w:rsid w:val="003E1E79"/>
    <w:rsid w:val="003E28BD"/>
    <w:rsid w:val="003F2E8D"/>
    <w:rsid w:val="003F314F"/>
    <w:rsid w:val="003F3178"/>
    <w:rsid w:val="003F39E4"/>
    <w:rsid w:val="004018CD"/>
    <w:rsid w:val="00401C74"/>
    <w:rsid w:val="004026FE"/>
    <w:rsid w:val="00404C1A"/>
    <w:rsid w:val="00407A49"/>
    <w:rsid w:val="00411023"/>
    <w:rsid w:val="004110B9"/>
    <w:rsid w:val="004116E5"/>
    <w:rsid w:val="004119C2"/>
    <w:rsid w:val="00413445"/>
    <w:rsid w:val="00413EB5"/>
    <w:rsid w:val="0041401F"/>
    <w:rsid w:val="004152B4"/>
    <w:rsid w:val="00417DBA"/>
    <w:rsid w:val="0042449E"/>
    <w:rsid w:val="004244E8"/>
    <w:rsid w:val="00424C48"/>
    <w:rsid w:val="00425A73"/>
    <w:rsid w:val="004301EC"/>
    <w:rsid w:val="004303B4"/>
    <w:rsid w:val="00435C0B"/>
    <w:rsid w:val="00436AFD"/>
    <w:rsid w:val="00437218"/>
    <w:rsid w:val="00437701"/>
    <w:rsid w:val="0044172C"/>
    <w:rsid w:val="00441AB8"/>
    <w:rsid w:val="00442B2E"/>
    <w:rsid w:val="0044342E"/>
    <w:rsid w:val="004479CA"/>
    <w:rsid w:val="00447B6A"/>
    <w:rsid w:val="0045072B"/>
    <w:rsid w:val="004528CC"/>
    <w:rsid w:val="004546AD"/>
    <w:rsid w:val="00454CD1"/>
    <w:rsid w:val="00455833"/>
    <w:rsid w:val="0045617F"/>
    <w:rsid w:val="00460AD1"/>
    <w:rsid w:val="00463AD8"/>
    <w:rsid w:val="004671D2"/>
    <w:rsid w:val="00467276"/>
    <w:rsid w:val="0047196E"/>
    <w:rsid w:val="00471FFB"/>
    <w:rsid w:val="00472728"/>
    <w:rsid w:val="004727AA"/>
    <w:rsid w:val="00473714"/>
    <w:rsid w:val="00474F4C"/>
    <w:rsid w:val="00475177"/>
    <w:rsid w:val="00476308"/>
    <w:rsid w:val="00476824"/>
    <w:rsid w:val="00476B0A"/>
    <w:rsid w:val="004849BB"/>
    <w:rsid w:val="00486AC7"/>
    <w:rsid w:val="00487691"/>
    <w:rsid w:val="004877C1"/>
    <w:rsid w:val="00490EDD"/>
    <w:rsid w:val="00491B88"/>
    <w:rsid w:val="00496A30"/>
    <w:rsid w:val="00496ED8"/>
    <w:rsid w:val="0049741C"/>
    <w:rsid w:val="004A24F2"/>
    <w:rsid w:val="004A2654"/>
    <w:rsid w:val="004A4976"/>
    <w:rsid w:val="004A717F"/>
    <w:rsid w:val="004A74A0"/>
    <w:rsid w:val="004B0F07"/>
    <w:rsid w:val="004B1096"/>
    <w:rsid w:val="004B18CD"/>
    <w:rsid w:val="004B234C"/>
    <w:rsid w:val="004B5AFF"/>
    <w:rsid w:val="004B7008"/>
    <w:rsid w:val="004C08C9"/>
    <w:rsid w:val="004C2EBF"/>
    <w:rsid w:val="004C55D9"/>
    <w:rsid w:val="004C5884"/>
    <w:rsid w:val="004C7CF6"/>
    <w:rsid w:val="004D4271"/>
    <w:rsid w:val="004D5409"/>
    <w:rsid w:val="004D6036"/>
    <w:rsid w:val="004D75AB"/>
    <w:rsid w:val="004E0731"/>
    <w:rsid w:val="004E0E17"/>
    <w:rsid w:val="004E1397"/>
    <w:rsid w:val="004E38CF"/>
    <w:rsid w:val="004E3B55"/>
    <w:rsid w:val="004F4C45"/>
    <w:rsid w:val="004F6B46"/>
    <w:rsid w:val="00500E6B"/>
    <w:rsid w:val="00501E93"/>
    <w:rsid w:val="005026AD"/>
    <w:rsid w:val="00505A74"/>
    <w:rsid w:val="00507045"/>
    <w:rsid w:val="0050783F"/>
    <w:rsid w:val="005123F0"/>
    <w:rsid w:val="0051268B"/>
    <w:rsid w:val="005144C3"/>
    <w:rsid w:val="00515BDC"/>
    <w:rsid w:val="00517EE7"/>
    <w:rsid w:val="00522DD1"/>
    <w:rsid w:val="005239CF"/>
    <w:rsid w:val="00523C4E"/>
    <w:rsid w:val="00524020"/>
    <w:rsid w:val="00527F0C"/>
    <w:rsid w:val="005313B0"/>
    <w:rsid w:val="00531B73"/>
    <w:rsid w:val="00533608"/>
    <w:rsid w:val="0053662F"/>
    <w:rsid w:val="0053665B"/>
    <w:rsid w:val="00536883"/>
    <w:rsid w:val="005417B5"/>
    <w:rsid w:val="0054271D"/>
    <w:rsid w:val="00544350"/>
    <w:rsid w:val="005443D8"/>
    <w:rsid w:val="0055096D"/>
    <w:rsid w:val="005534D6"/>
    <w:rsid w:val="00553AE1"/>
    <w:rsid w:val="005545E1"/>
    <w:rsid w:val="00554BEF"/>
    <w:rsid w:val="00556943"/>
    <w:rsid w:val="0056012B"/>
    <w:rsid w:val="005647F0"/>
    <w:rsid w:val="005658A4"/>
    <w:rsid w:val="00566109"/>
    <w:rsid w:val="0056630E"/>
    <w:rsid w:val="00567ED7"/>
    <w:rsid w:val="00572A51"/>
    <w:rsid w:val="005752BA"/>
    <w:rsid w:val="00575F63"/>
    <w:rsid w:val="0057602D"/>
    <w:rsid w:val="0057707F"/>
    <w:rsid w:val="0058137D"/>
    <w:rsid w:val="00582603"/>
    <w:rsid w:val="005841B1"/>
    <w:rsid w:val="005846BB"/>
    <w:rsid w:val="00584B31"/>
    <w:rsid w:val="0058549E"/>
    <w:rsid w:val="00585561"/>
    <w:rsid w:val="00586420"/>
    <w:rsid w:val="00587FC2"/>
    <w:rsid w:val="005938DF"/>
    <w:rsid w:val="005944E0"/>
    <w:rsid w:val="00595933"/>
    <w:rsid w:val="005975AB"/>
    <w:rsid w:val="005A1B85"/>
    <w:rsid w:val="005A2A12"/>
    <w:rsid w:val="005A3377"/>
    <w:rsid w:val="005A63BE"/>
    <w:rsid w:val="005A6A9D"/>
    <w:rsid w:val="005B210B"/>
    <w:rsid w:val="005B407C"/>
    <w:rsid w:val="005B45BB"/>
    <w:rsid w:val="005C0CF8"/>
    <w:rsid w:val="005C18E0"/>
    <w:rsid w:val="005C2309"/>
    <w:rsid w:val="005C624F"/>
    <w:rsid w:val="005C6DE8"/>
    <w:rsid w:val="005D0A09"/>
    <w:rsid w:val="005D30A6"/>
    <w:rsid w:val="005D536A"/>
    <w:rsid w:val="005D6568"/>
    <w:rsid w:val="005D725A"/>
    <w:rsid w:val="005E2477"/>
    <w:rsid w:val="005E5765"/>
    <w:rsid w:val="005E71BF"/>
    <w:rsid w:val="005F0849"/>
    <w:rsid w:val="005F0E00"/>
    <w:rsid w:val="005F11E9"/>
    <w:rsid w:val="005F23DC"/>
    <w:rsid w:val="005F2497"/>
    <w:rsid w:val="005F24DE"/>
    <w:rsid w:val="005F2EED"/>
    <w:rsid w:val="005F2F50"/>
    <w:rsid w:val="005F54E9"/>
    <w:rsid w:val="00600776"/>
    <w:rsid w:val="006011DD"/>
    <w:rsid w:val="006015EC"/>
    <w:rsid w:val="0060442F"/>
    <w:rsid w:val="00607E79"/>
    <w:rsid w:val="00611137"/>
    <w:rsid w:val="00612BB4"/>
    <w:rsid w:val="006155B5"/>
    <w:rsid w:val="00615C09"/>
    <w:rsid w:val="006211E3"/>
    <w:rsid w:val="006271EF"/>
    <w:rsid w:val="006351E4"/>
    <w:rsid w:val="00636E44"/>
    <w:rsid w:val="006376BC"/>
    <w:rsid w:val="00641307"/>
    <w:rsid w:val="00644F56"/>
    <w:rsid w:val="00645C7F"/>
    <w:rsid w:val="00647343"/>
    <w:rsid w:val="006502A1"/>
    <w:rsid w:val="0065342B"/>
    <w:rsid w:val="00657BE2"/>
    <w:rsid w:val="006617F6"/>
    <w:rsid w:val="006628B8"/>
    <w:rsid w:val="00663652"/>
    <w:rsid w:val="00663D64"/>
    <w:rsid w:val="00665311"/>
    <w:rsid w:val="00665AD5"/>
    <w:rsid w:val="0066745E"/>
    <w:rsid w:val="00673815"/>
    <w:rsid w:val="00674DDF"/>
    <w:rsid w:val="006770EC"/>
    <w:rsid w:val="0067740E"/>
    <w:rsid w:val="006776CB"/>
    <w:rsid w:val="00677E36"/>
    <w:rsid w:val="00681F88"/>
    <w:rsid w:val="006835D0"/>
    <w:rsid w:val="006849C8"/>
    <w:rsid w:val="0068656C"/>
    <w:rsid w:val="00687301"/>
    <w:rsid w:val="00687640"/>
    <w:rsid w:val="00691CE2"/>
    <w:rsid w:val="00692E3A"/>
    <w:rsid w:val="006938EB"/>
    <w:rsid w:val="00696670"/>
    <w:rsid w:val="00697226"/>
    <w:rsid w:val="00697C3F"/>
    <w:rsid w:val="006A0604"/>
    <w:rsid w:val="006A073C"/>
    <w:rsid w:val="006A15AB"/>
    <w:rsid w:val="006A18FE"/>
    <w:rsid w:val="006A20BA"/>
    <w:rsid w:val="006A2188"/>
    <w:rsid w:val="006A27CB"/>
    <w:rsid w:val="006A3536"/>
    <w:rsid w:val="006A5572"/>
    <w:rsid w:val="006A7D4F"/>
    <w:rsid w:val="006A7E0A"/>
    <w:rsid w:val="006B011A"/>
    <w:rsid w:val="006B2CCC"/>
    <w:rsid w:val="006B3C29"/>
    <w:rsid w:val="006B43A2"/>
    <w:rsid w:val="006C008B"/>
    <w:rsid w:val="006C37ED"/>
    <w:rsid w:val="006C72A7"/>
    <w:rsid w:val="006D1896"/>
    <w:rsid w:val="006D239A"/>
    <w:rsid w:val="006D2B34"/>
    <w:rsid w:val="006D2BCC"/>
    <w:rsid w:val="006D2C53"/>
    <w:rsid w:val="006D3265"/>
    <w:rsid w:val="006D397C"/>
    <w:rsid w:val="006E0C44"/>
    <w:rsid w:val="006E20B6"/>
    <w:rsid w:val="006E2505"/>
    <w:rsid w:val="006E27BB"/>
    <w:rsid w:val="006E2D9D"/>
    <w:rsid w:val="006E5DB9"/>
    <w:rsid w:val="006F07B2"/>
    <w:rsid w:val="006F103F"/>
    <w:rsid w:val="006F5DB8"/>
    <w:rsid w:val="0070289A"/>
    <w:rsid w:val="00707C82"/>
    <w:rsid w:val="0071231F"/>
    <w:rsid w:val="00717680"/>
    <w:rsid w:val="007202C6"/>
    <w:rsid w:val="007202E2"/>
    <w:rsid w:val="007204BE"/>
    <w:rsid w:val="00721405"/>
    <w:rsid w:val="00721A48"/>
    <w:rsid w:val="00721ABD"/>
    <w:rsid w:val="007244B7"/>
    <w:rsid w:val="007310AF"/>
    <w:rsid w:val="0073379A"/>
    <w:rsid w:val="007356BC"/>
    <w:rsid w:val="007363D0"/>
    <w:rsid w:val="0073741B"/>
    <w:rsid w:val="00737F36"/>
    <w:rsid w:val="007404F0"/>
    <w:rsid w:val="00743CD2"/>
    <w:rsid w:val="007446BB"/>
    <w:rsid w:val="007447B9"/>
    <w:rsid w:val="007449A6"/>
    <w:rsid w:val="00744FD3"/>
    <w:rsid w:val="0074516B"/>
    <w:rsid w:val="00746454"/>
    <w:rsid w:val="007465E0"/>
    <w:rsid w:val="007468AB"/>
    <w:rsid w:val="00747161"/>
    <w:rsid w:val="00747378"/>
    <w:rsid w:val="0075046A"/>
    <w:rsid w:val="00751A72"/>
    <w:rsid w:val="00752111"/>
    <w:rsid w:val="007532B8"/>
    <w:rsid w:val="007537B2"/>
    <w:rsid w:val="00754A71"/>
    <w:rsid w:val="00756562"/>
    <w:rsid w:val="007616FE"/>
    <w:rsid w:val="00761D49"/>
    <w:rsid w:val="0076393A"/>
    <w:rsid w:val="00763A5C"/>
    <w:rsid w:val="00766003"/>
    <w:rsid w:val="007662FF"/>
    <w:rsid w:val="00770F0C"/>
    <w:rsid w:val="007727CF"/>
    <w:rsid w:val="00772A55"/>
    <w:rsid w:val="00772F8D"/>
    <w:rsid w:val="007732D1"/>
    <w:rsid w:val="00774F2A"/>
    <w:rsid w:val="00777A7B"/>
    <w:rsid w:val="00780F99"/>
    <w:rsid w:val="00785ED3"/>
    <w:rsid w:val="00787A64"/>
    <w:rsid w:val="00787E4C"/>
    <w:rsid w:val="00791185"/>
    <w:rsid w:val="007942CD"/>
    <w:rsid w:val="00794598"/>
    <w:rsid w:val="007947CA"/>
    <w:rsid w:val="007956C0"/>
    <w:rsid w:val="007959B4"/>
    <w:rsid w:val="00796082"/>
    <w:rsid w:val="007A0908"/>
    <w:rsid w:val="007A1775"/>
    <w:rsid w:val="007A2DCD"/>
    <w:rsid w:val="007B451D"/>
    <w:rsid w:val="007B488D"/>
    <w:rsid w:val="007C54F3"/>
    <w:rsid w:val="007C5E41"/>
    <w:rsid w:val="007D2AAF"/>
    <w:rsid w:val="007D4C34"/>
    <w:rsid w:val="007D5BDE"/>
    <w:rsid w:val="007E0036"/>
    <w:rsid w:val="007E0D4F"/>
    <w:rsid w:val="007E0D9F"/>
    <w:rsid w:val="007E2908"/>
    <w:rsid w:val="007E4973"/>
    <w:rsid w:val="007E691D"/>
    <w:rsid w:val="007F0C2D"/>
    <w:rsid w:val="007F12A5"/>
    <w:rsid w:val="007F376C"/>
    <w:rsid w:val="00800D1B"/>
    <w:rsid w:val="008014BD"/>
    <w:rsid w:val="0080224E"/>
    <w:rsid w:val="0080227C"/>
    <w:rsid w:val="00803EC1"/>
    <w:rsid w:val="00806C98"/>
    <w:rsid w:val="00810886"/>
    <w:rsid w:val="00814EDF"/>
    <w:rsid w:val="008154DE"/>
    <w:rsid w:val="00820771"/>
    <w:rsid w:val="008212BF"/>
    <w:rsid w:val="00822DAB"/>
    <w:rsid w:val="00823080"/>
    <w:rsid w:val="00823108"/>
    <w:rsid w:val="008236ED"/>
    <w:rsid w:val="00823AB9"/>
    <w:rsid w:val="0082453C"/>
    <w:rsid w:val="00824D3C"/>
    <w:rsid w:val="0082762D"/>
    <w:rsid w:val="00830E0F"/>
    <w:rsid w:val="008310CD"/>
    <w:rsid w:val="00831B24"/>
    <w:rsid w:val="00833916"/>
    <w:rsid w:val="0083497F"/>
    <w:rsid w:val="00835977"/>
    <w:rsid w:val="00836A8D"/>
    <w:rsid w:val="00841B03"/>
    <w:rsid w:val="00841C9E"/>
    <w:rsid w:val="008423DD"/>
    <w:rsid w:val="00842FF5"/>
    <w:rsid w:val="0084390A"/>
    <w:rsid w:val="00846408"/>
    <w:rsid w:val="00851EA5"/>
    <w:rsid w:val="00853FEE"/>
    <w:rsid w:val="008547FD"/>
    <w:rsid w:val="00857EBB"/>
    <w:rsid w:val="00860617"/>
    <w:rsid w:val="008616F4"/>
    <w:rsid w:val="00861F60"/>
    <w:rsid w:val="008630A4"/>
    <w:rsid w:val="008630DB"/>
    <w:rsid w:val="008631D1"/>
    <w:rsid w:val="00863F6F"/>
    <w:rsid w:val="00864659"/>
    <w:rsid w:val="00865604"/>
    <w:rsid w:val="008674B2"/>
    <w:rsid w:val="0087008E"/>
    <w:rsid w:val="00872864"/>
    <w:rsid w:val="008746CB"/>
    <w:rsid w:val="0088091B"/>
    <w:rsid w:val="00881472"/>
    <w:rsid w:val="00881AEA"/>
    <w:rsid w:val="00882172"/>
    <w:rsid w:val="0088279E"/>
    <w:rsid w:val="00882F2E"/>
    <w:rsid w:val="00883730"/>
    <w:rsid w:val="00883F5F"/>
    <w:rsid w:val="008868F0"/>
    <w:rsid w:val="00886AE8"/>
    <w:rsid w:val="00887A9E"/>
    <w:rsid w:val="00887FE3"/>
    <w:rsid w:val="008906F5"/>
    <w:rsid w:val="00890AF6"/>
    <w:rsid w:val="00892A86"/>
    <w:rsid w:val="00893953"/>
    <w:rsid w:val="00893E54"/>
    <w:rsid w:val="00894A40"/>
    <w:rsid w:val="00897A98"/>
    <w:rsid w:val="00897F91"/>
    <w:rsid w:val="008A3EAD"/>
    <w:rsid w:val="008A479E"/>
    <w:rsid w:val="008A5E19"/>
    <w:rsid w:val="008A6A46"/>
    <w:rsid w:val="008B13FF"/>
    <w:rsid w:val="008B22BB"/>
    <w:rsid w:val="008B5728"/>
    <w:rsid w:val="008B5FA5"/>
    <w:rsid w:val="008B641D"/>
    <w:rsid w:val="008C1036"/>
    <w:rsid w:val="008C2111"/>
    <w:rsid w:val="008C382E"/>
    <w:rsid w:val="008C4849"/>
    <w:rsid w:val="008C7334"/>
    <w:rsid w:val="008C7688"/>
    <w:rsid w:val="008C7EFE"/>
    <w:rsid w:val="008D191A"/>
    <w:rsid w:val="008D2703"/>
    <w:rsid w:val="008D420B"/>
    <w:rsid w:val="008D75CB"/>
    <w:rsid w:val="008E04E0"/>
    <w:rsid w:val="008E1C8B"/>
    <w:rsid w:val="008E4317"/>
    <w:rsid w:val="008E5C28"/>
    <w:rsid w:val="008F057A"/>
    <w:rsid w:val="008F05F8"/>
    <w:rsid w:val="008F1EF6"/>
    <w:rsid w:val="008F2881"/>
    <w:rsid w:val="008F302D"/>
    <w:rsid w:val="008F445E"/>
    <w:rsid w:val="008F5168"/>
    <w:rsid w:val="008F54C8"/>
    <w:rsid w:val="008F5A88"/>
    <w:rsid w:val="008F6C47"/>
    <w:rsid w:val="008F7BD8"/>
    <w:rsid w:val="00900871"/>
    <w:rsid w:val="00901F49"/>
    <w:rsid w:val="009022AE"/>
    <w:rsid w:val="0090284A"/>
    <w:rsid w:val="0090372E"/>
    <w:rsid w:val="00904D3B"/>
    <w:rsid w:val="00907D36"/>
    <w:rsid w:val="00912B2E"/>
    <w:rsid w:val="00914B14"/>
    <w:rsid w:val="00914E57"/>
    <w:rsid w:val="0092099D"/>
    <w:rsid w:val="00921398"/>
    <w:rsid w:val="0092276B"/>
    <w:rsid w:val="00922E6C"/>
    <w:rsid w:val="00923FDA"/>
    <w:rsid w:val="009268B3"/>
    <w:rsid w:val="00930A0A"/>
    <w:rsid w:val="00931257"/>
    <w:rsid w:val="00933A04"/>
    <w:rsid w:val="0093489E"/>
    <w:rsid w:val="00934E8E"/>
    <w:rsid w:val="009368DA"/>
    <w:rsid w:val="0093786A"/>
    <w:rsid w:val="00941F66"/>
    <w:rsid w:val="00942ECE"/>
    <w:rsid w:val="00943017"/>
    <w:rsid w:val="0094596D"/>
    <w:rsid w:val="00946885"/>
    <w:rsid w:val="009477AE"/>
    <w:rsid w:val="00947EA8"/>
    <w:rsid w:val="00951186"/>
    <w:rsid w:val="00951640"/>
    <w:rsid w:val="00952C1E"/>
    <w:rsid w:val="0095352A"/>
    <w:rsid w:val="00953B6B"/>
    <w:rsid w:val="00954391"/>
    <w:rsid w:val="00957C3F"/>
    <w:rsid w:val="00960018"/>
    <w:rsid w:val="00964348"/>
    <w:rsid w:val="0096499A"/>
    <w:rsid w:val="00970348"/>
    <w:rsid w:val="00975A94"/>
    <w:rsid w:val="00980E27"/>
    <w:rsid w:val="0098238A"/>
    <w:rsid w:val="00984084"/>
    <w:rsid w:val="00985F23"/>
    <w:rsid w:val="00990EFB"/>
    <w:rsid w:val="009910AE"/>
    <w:rsid w:val="00994C36"/>
    <w:rsid w:val="00995239"/>
    <w:rsid w:val="009A2FBA"/>
    <w:rsid w:val="009A62B7"/>
    <w:rsid w:val="009A656B"/>
    <w:rsid w:val="009B4563"/>
    <w:rsid w:val="009B4695"/>
    <w:rsid w:val="009B5EA6"/>
    <w:rsid w:val="009B61FF"/>
    <w:rsid w:val="009B629B"/>
    <w:rsid w:val="009C07B8"/>
    <w:rsid w:val="009C219A"/>
    <w:rsid w:val="009C34AC"/>
    <w:rsid w:val="009C3634"/>
    <w:rsid w:val="009C42C4"/>
    <w:rsid w:val="009C6AD3"/>
    <w:rsid w:val="009D0F66"/>
    <w:rsid w:val="009D1763"/>
    <w:rsid w:val="009D337F"/>
    <w:rsid w:val="009D3B1A"/>
    <w:rsid w:val="009D506C"/>
    <w:rsid w:val="009E1BAC"/>
    <w:rsid w:val="009E48F9"/>
    <w:rsid w:val="009E5601"/>
    <w:rsid w:val="009E56F2"/>
    <w:rsid w:val="009F09A6"/>
    <w:rsid w:val="009F225B"/>
    <w:rsid w:val="009F399C"/>
    <w:rsid w:val="009F3D97"/>
    <w:rsid w:val="009F5543"/>
    <w:rsid w:val="009F6786"/>
    <w:rsid w:val="009F6C90"/>
    <w:rsid w:val="009F7D7A"/>
    <w:rsid w:val="00A04079"/>
    <w:rsid w:val="00A054C0"/>
    <w:rsid w:val="00A058B8"/>
    <w:rsid w:val="00A07141"/>
    <w:rsid w:val="00A07A32"/>
    <w:rsid w:val="00A14CFA"/>
    <w:rsid w:val="00A15D62"/>
    <w:rsid w:val="00A220F3"/>
    <w:rsid w:val="00A245E8"/>
    <w:rsid w:val="00A24DE4"/>
    <w:rsid w:val="00A276BE"/>
    <w:rsid w:val="00A30C14"/>
    <w:rsid w:val="00A31C99"/>
    <w:rsid w:val="00A32BD8"/>
    <w:rsid w:val="00A343CD"/>
    <w:rsid w:val="00A35344"/>
    <w:rsid w:val="00A35409"/>
    <w:rsid w:val="00A36593"/>
    <w:rsid w:val="00A36DA5"/>
    <w:rsid w:val="00A376DB"/>
    <w:rsid w:val="00A4264A"/>
    <w:rsid w:val="00A51CB3"/>
    <w:rsid w:val="00A52005"/>
    <w:rsid w:val="00A52360"/>
    <w:rsid w:val="00A52EF9"/>
    <w:rsid w:val="00A537FD"/>
    <w:rsid w:val="00A60466"/>
    <w:rsid w:val="00A60BB4"/>
    <w:rsid w:val="00A61D56"/>
    <w:rsid w:val="00A632F6"/>
    <w:rsid w:val="00A63343"/>
    <w:rsid w:val="00A63B4E"/>
    <w:rsid w:val="00A655CA"/>
    <w:rsid w:val="00A663CD"/>
    <w:rsid w:val="00A66E39"/>
    <w:rsid w:val="00A6711F"/>
    <w:rsid w:val="00A7063E"/>
    <w:rsid w:val="00A72C67"/>
    <w:rsid w:val="00A7475C"/>
    <w:rsid w:val="00A7613B"/>
    <w:rsid w:val="00A774D4"/>
    <w:rsid w:val="00A8013B"/>
    <w:rsid w:val="00A802E1"/>
    <w:rsid w:val="00A80D8B"/>
    <w:rsid w:val="00A8132C"/>
    <w:rsid w:val="00A848CA"/>
    <w:rsid w:val="00A85115"/>
    <w:rsid w:val="00A911F5"/>
    <w:rsid w:val="00A937D2"/>
    <w:rsid w:val="00A93BE5"/>
    <w:rsid w:val="00A9708D"/>
    <w:rsid w:val="00A97E06"/>
    <w:rsid w:val="00AA48AE"/>
    <w:rsid w:val="00AA6695"/>
    <w:rsid w:val="00AB0E43"/>
    <w:rsid w:val="00AB18EA"/>
    <w:rsid w:val="00AB3B54"/>
    <w:rsid w:val="00AB40EA"/>
    <w:rsid w:val="00AB4685"/>
    <w:rsid w:val="00AB47D8"/>
    <w:rsid w:val="00AB5D2D"/>
    <w:rsid w:val="00AB70E9"/>
    <w:rsid w:val="00AB7837"/>
    <w:rsid w:val="00AC0F2C"/>
    <w:rsid w:val="00AC2F9F"/>
    <w:rsid w:val="00AC31DE"/>
    <w:rsid w:val="00AC31E7"/>
    <w:rsid w:val="00AC4B12"/>
    <w:rsid w:val="00AC53F3"/>
    <w:rsid w:val="00AC6489"/>
    <w:rsid w:val="00AD0F62"/>
    <w:rsid w:val="00AD1224"/>
    <w:rsid w:val="00AD16E4"/>
    <w:rsid w:val="00AD2A9B"/>
    <w:rsid w:val="00AD46D2"/>
    <w:rsid w:val="00AD537E"/>
    <w:rsid w:val="00AD6B04"/>
    <w:rsid w:val="00AE19ED"/>
    <w:rsid w:val="00AE265D"/>
    <w:rsid w:val="00AE2679"/>
    <w:rsid w:val="00AE2FF1"/>
    <w:rsid w:val="00AE607D"/>
    <w:rsid w:val="00AF110F"/>
    <w:rsid w:val="00AF2911"/>
    <w:rsid w:val="00AF38C8"/>
    <w:rsid w:val="00AF4BDA"/>
    <w:rsid w:val="00AF74B7"/>
    <w:rsid w:val="00AF7AE2"/>
    <w:rsid w:val="00B005E4"/>
    <w:rsid w:val="00B0130F"/>
    <w:rsid w:val="00B026F3"/>
    <w:rsid w:val="00B02CF0"/>
    <w:rsid w:val="00B05963"/>
    <w:rsid w:val="00B11D54"/>
    <w:rsid w:val="00B11E1A"/>
    <w:rsid w:val="00B136A3"/>
    <w:rsid w:val="00B16152"/>
    <w:rsid w:val="00B1679C"/>
    <w:rsid w:val="00B169FB"/>
    <w:rsid w:val="00B172B6"/>
    <w:rsid w:val="00B20E9F"/>
    <w:rsid w:val="00B21078"/>
    <w:rsid w:val="00B21514"/>
    <w:rsid w:val="00B24C9D"/>
    <w:rsid w:val="00B25BF6"/>
    <w:rsid w:val="00B27622"/>
    <w:rsid w:val="00B330BD"/>
    <w:rsid w:val="00B34036"/>
    <w:rsid w:val="00B3485D"/>
    <w:rsid w:val="00B34E5F"/>
    <w:rsid w:val="00B3611B"/>
    <w:rsid w:val="00B36174"/>
    <w:rsid w:val="00B44C9E"/>
    <w:rsid w:val="00B52410"/>
    <w:rsid w:val="00B54874"/>
    <w:rsid w:val="00B554A1"/>
    <w:rsid w:val="00B569D3"/>
    <w:rsid w:val="00B62AE7"/>
    <w:rsid w:val="00B71588"/>
    <w:rsid w:val="00B75255"/>
    <w:rsid w:val="00B75E94"/>
    <w:rsid w:val="00B805B3"/>
    <w:rsid w:val="00B80BC9"/>
    <w:rsid w:val="00B82727"/>
    <w:rsid w:val="00B82B12"/>
    <w:rsid w:val="00B84D6B"/>
    <w:rsid w:val="00B868A1"/>
    <w:rsid w:val="00B86B12"/>
    <w:rsid w:val="00B90C1C"/>
    <w:rsid w:val="00B932B6"/>
    <w:rsid w:val="00B93441"/>
    <w:rsid w:val="00B9539C"/>
    <w:rsid w:val="00B964D5"/>
    <w:rsid w:val="00B9792B"/>
    <w:rsid w:val="00BA09BB"/>
    <w:rsid w:val="00BA47EE"/>
    <w:rsid w:val="00BA4CE3"/>
    <w:rsid w:val="00BA4F37"/>
    <w:rsid w:val="00BA522B"/>
    <w:rsid w:val="00BA7084"/>
    <w:rsid w:val="00BA7E8A"/>
    <w:rsid w:val="00BB064F"/>
    <w:rsid w:val="00BB1609"/>
    <w:rsid w:val="00BB2D30"/>
    <w:rsid w:val="00BB3677"/>
    <w:rsid w:val="00BB3FF0"/>
    <w:rsid w:val="00BB40E2"/>
    <w:rsid w:val="00BB5DCD"/>
    <w:rsid w:val="00BC0544"/>
    <w:rsid w:val="00BC3F55"/>
    <w:rsid w:val="00BC40F7"/>
    <w:rsid w:val="00BC5F14"/>
    <w:rsid w:val="00BD1567"/>
    <w:rsid w:val="00BD31E4"/>
    <w:rsid w:val="00BD3606"/>
    <w:rsid w:val="00BD4208"/>
    <w:rsid w:val="00BD452F"/>
    <w:rsid w:val="00BD7294"/>
    <w:rsid w:val="00BE1B5E"/>
    <w:rsid w:val="00BE217C"/>
    <w:rsid w:val="00BE6B1A"/>
    <w:rsid w:val="00BE7398"/>
    <w:rsid w:val="00BF211B"/>
    <w:rsid w:val="00BF3BCC"/>
    <w:rsid w:val="00BF5947"/>
    <w:rsid w:val="00C00928"/>
    <w:rsid w:val="00C02458"/>
    <w:rsid w:val="00C0384D"/>
    <w:rsid w:val="00C04ED6"/>
    <w:rsid w:val="00C05322"/>
    <w:rsid w:val="00C05D9F"/>
    <w:rsid w:val="00C0718E"/>
    <w:rsid w:val="00C10EB1"/>
    <w:rsid w:val="00C12451"/>
    <w:rsid w:val="00C128AD"/>
    <w:rsid w:val="00C12D89"/>
    <w:rsid w:val="00C140CE"/>
    <w:rsid w:val="00C145ED"/>
    <w:rsid w:val="00C14811"/>
    <w:rsid w:val="00C210AF"/>
    <w:rsid w:val="00C214E8"/>
    <w:rsid w:val="00C230F8"/>
    <w:rsid w:val="00C241BB"/>
    <w:rsid w:val="00C30F62"/>
    <w:rsid w:val="00C32BCD"/>
    <w:rsid w:val="00C40464"/>
    <w:rsid w:val="00C426DF"/>
    <w:rsid w:val="00C453DC"/>
    <w:rsid w:val="00C45CBC"/>
    <w:rsid w:val="00C46BF4"/>
    <w:rsid w:val="00C47B49"/>
    <w:rsid w:val="00C51C5C"/>
    <w:rsid w:val="00C53E97"/>
    <w:rsid w:val="00C53F99"/>
    <w:rsid w:val="00C5526A"/>
    <w:rsid w:val="00C614DC"/>
    <w:rsid w:val="00C615F3"/>
    <w:rsid w:val="00C64649"/>
    <w:rsid w:val="00C66D4A"/>
    <w:rsid w:val="00C66EAB"/>
    <w:rsid w:val="00C70A38"/>
    <w:rsid w:val="00C70CA6"/>
    <w:rsid w:val="00C715B3"/>
    <w:rsid w:val="00C71D6D"/>
    <w:rsid w:val="00C72716"/>
    <w:rsid w:val="00C74DA7"/>
    <w:rsid w:val="00C74DB5"/>
    <w:rsid w:val="00C77513"/>
    <w:rsid w:val="00C82B92"/>
    <w:rsid w:val="00C830DA"/>
    <w:rsid w:val="00C835B4"/>
    <w:rsid w:val="00C843D4"/>
    <w:rsid w:val="00C84DEE"/>
    <w:rsid w:val="00C8718E"/>
    <w:rsid w:val="00C93BC9"/>
    <w:rsid w:val="00C9444A"/>
    <w:rsid w:val="00C9744B"/>
    <w:rsid w:val="00CA1098"/>
    <w:rsid w:val="00CA1814"/>
    <w:rsid w:val="00CA1852"/>
    <w:rsid w:val="00CA1896"/>
    <w:rsid w:val="00CA20B2"/>
    <w:rsid w:val="00CA2A37"/>
    <w:rsid w:val="00CA394D"/>
    <w:rsid w:val="00CA4613"/>
    <w:rsid w:val="00CA5300"/>
    <w:rsid w:val="00CA5466"/>
    <w:rsid w:val="00CA581B"/>
    <w:rsid w:val="00CA65E6"/>
    <w:rsid w:val="00CA6931"/>
    <w:rsid w:val="00CB03BC"/>
    <w:rsid w:val="00CB4316"/>
    <w:rsid w:val="00CB5241"/>
    <w:rsid w:val="00CB59AD"/>
    <w:rsid w:val="00CB5DB7"/>
    <w:rsid w:val="00CB686C"/>
    <w:rsid w:val="00CC0A3B"/>
    <w:rsid w:val="00CC3727"/>
    <w:rsid w:val="00CC3F1B"/>
    <w:rsid w:val="00CC78DC"/>
    <w:rsid w:val="00CD1202"/>
    <w:rsid w:val="00CD1D56"/>
    <w:rsid w:val="00CD48B4"/>
    <w:rsid w:val="00CD7479"/>
    <w:rsid w:val="00CD7AC4"/>
    <w:rsid w:val="00CD7CF3"/>
    <w:rsid w:val="00CE0095"/>
    <w:rsid w:val="00CE0168"/>
    <w:rsid w:val="00CE20D5"/>
    <w:rsid w:val="00CE2554"/>
    <w:rsid w:val="00CE4139"/>
    <w:rsid w:val="00CF06DF"/>
    <w:rsid w:val="00CF1EC2"/>
    <w:rsid w:val="00CF2D42"/>
    <w:rsid w:val="00CF3B40"/>
    <w:rsid w:val="00CF3CF3"/>
    <w:rsid w:val="00CF4697"/>
    <w:rsid w:val="00CF67FC"/>
    <w:rsid w:val="00D01114"/>
    <w:rsid w:val="00D01E2B"/>
    <w:rsid w:val="00D020A6"/>
    <w:rsid w:val="00D03B0A"/>
    <w:rsid w:val="00D04BD2"/>
    <w:rsid w:val="00D0702D"/>
    <w:rsid w:val="00D143BD"/>
    <w:rsid w:val="00D16DB7"/>
    <w:rsid w:val="00D20376"/>
    <w:rsid w:val="00D2671D"/>
    <w:rsid w:val="00D271CC"/>
    <w:rsid w:val="00D32BD9"/>
    <w:rsid w:val="00D35139"/>
    <w:rsid w:val="00D364F2"/>
    <w:rsid w:val="00D403DE"/>
    <w:rsid w:val="00D41076"/>
    <w:rsid w:val="00D4176B"/>
    <w:rsid w:val="00D43168"/>
    <w:rsid w:val="00D45F58"/>
    <w:rsid w:val="00D51E1A"/>
    <w:rsid w:val="00D53541"/>
    <w:rsid w:val="00D53D2A"/>
    <w:rsid w:val="00D53D36"/>
    <w:rsid w:val="00D5761C"/>
    <w:rsid w:val="00D611C9"/>
    <w:rsid w:val="00D61AA7"/>
    <w:rsid w:val="00D63182"/>
    <w:rsid w:val="00D72FFD"/>
    <w:rsid w:val="00D7418B"/>
    <w:rsid w:val="00D75C50"/>
    <w:rsid w:val="00D75D0D"/>
    <w:rsid w:val="00D7628E"/>
    <w:rsid w:val="00D767D8"/>
    <w:rsid w:val="00D773D1"/>
    <w:rsid w:val="00D8032F"/>
    <w:rsid w:val="00D83843"/>
    <w:rsid w:val="00D875AF"/>
    <w:rsid w:val="00D90D98"/>
    <w:rsid w:val="00D90EAF"/>
    <w:rsid w:val="00D911DD"/>
    <w:rsid w:val="00D916EC"/>
    <w:rsid w:val="00D94550"/>
    <w:rsid w:val="00D949C2"/>
    <w:rsid w:val="00D95BD2"/>
    <w:rsid w:val="00DA2234"/>
    <w:rsid w:val="00DA2E09"/>
    <w:rsid w:val="00DA4F60"/>
    <w:rsid w:val="00DA695D"/>
    <w:rsid w:val="00DB03EB"/>
    <w:rsid w:val="00DB0CDD"/>
    <w:rsid w:val="00DB10F2"/>
    <w:rsid w:val="00DB359E"/>
    <w:rsid w:val="00DB3787"/>
    <w:rsid w:val="00DB4960"/>
    <w:rsid w:val="00DB4ACC"/>
    <w:rsid w:val="00DB5C74"/>
    <w:rsid w:val="00DC3E74"/>
    <w:rsid w:val="00DC462C"/>
    <w:rsid w:val="00DC4DDA"/>
    <w:rsid w:val="00DC50CF"/>
    <w:rsid w:val="00DD00FD"/>
    <w:rsid w:val="00DD054D"/>
    <w:rsid w:val="00DD0783"/>
    <w:rsid w:val="00DD32C6"/>
    <w:rsid w:val="00DD5522"/>
    <w:rsid w:val="00DD659A"/>
    <w:rsid w:val="00DD6FA3"/>
    <w:rsid w:val="00DD71B2"/>
    <w:rsid w:val="00DE2902"/>
    <w:rsid w:val="00DE383A"/>
    <w:rsid w:val="00DE481E"/>
    <w:rsid w:val="00DE56C4"/>
    <w:rsid w:val="00DE6EFF"/>
    <w:rsid w:val="00DF689D"/>
    <w:rsid w:val="00DF7C50"/>
    <w:rsid w:val="00E0112B"/>
    <w:rsid w:val="00E016E5"/>
    <w:rsid w:val="00E02509"/>
    <w:rsid w:val="00E03AA1"/>
    <w:rsid w:val="00E04913"/>
    <w:rsid w:val="00E05745"/>
    <w:rsid w:val="00E0597B"/>
    <w:rsid w:val="00E07623"/>
    <w:rsid w:val="00E07B5B"/>
    <w:rsid w:val="00E11C36"/>
    <w:rsid w:val="00E11DD1"/>
    <w:rsid w:val="00E12226"/>
    <w:rsid w:val="00E132BD"/>
    <w:rsid w:val="00E157FE"/>
    <w:rsid w:val="00E16F2A"/>
    <w:rsid w:val="00E214B6"/>
    <w:rsid w:val="00E24818"/>
    <w:rsid w:val="00E32802"/>
    <w:rsid w:val="00E351EB"/>
    <w:rsid w:val="00E351FE"/>
    <w:rsid w:val="00E35772"/>
    <w:rsid w:val="00E363BD"/>
    <w:rsid w:val="00E37262"/>
    <w:rsid w:val="00E4057F"/>
    <w:rsid w:val="00E40AA3"/>
    <w:rsid w:val="00E434D5"/>
    <w:rsid w:val="00E44B68"/>
    <w:rsid w:val="00E4539B"/>
    <w:rsid w:val="00E45DF2"/>
    <w:rsid w:val="00E47BA6"/>
    <w:rsid w:val="00E507F0"/>
    <w:rsid w:val="00E50ED2"/>
    <w:rsid w:val="00E52081"/>
    <w:rsid w:val="00E53123"/>
    <w:rsid w:val="00E5439C"/>
    <w:rsid w:val="00E544FA"/>
    <w:rsid w:val="00E557E9"/>
    <w:rsid w:val="00E55946"/>
    <w:rsid w:val="00E57A27"/>
    <w:rsid w:val="00E622AD"/>
    <w:rsid w:val="00E6424D"/>
    <w:rsid w:val="00E72741"/>
    <w:rsid w:val="00E732B5"/>
    <w:rsid w:val="00E73807"/>
    <w:rsid w:val="00E743F8"/>
    <w:rsid w:val="00E762A9"/>
    <w:rsid w:val="00E81171"/>
    <w:rsid w:val="00E824DA"/>
    <w:rsid w:val="00E87698"/>
    <w:rsid w:val="00E9149D"/>
    <w:rsid w:val="00E91810"/>
    <w:rsid w:val="00E939D3"/>
    <w:rsid w:val="00E93FD2"/>
    <w:rsid w:val="00E94CFA"/>
    <w:rsid w:val="00E94EBE"/>
    <w:rsid w:val="00E969D2"/>
    <w:rsid w:val="00E979A0"/>
    <w:rsid w:val="00E97E0B"/>
    <w:rsid w:val="00E97E26"/>
    <w:rsid w:val="00EA19A3"/>
    <w:rsid w:val="00EA30D9"/>
    <w:rsid w:val="00EA4310"/>
    <w:rsid w:val="00EA6981"/>
    <w:rsid w:val="00EA74C9"/>
    <w:rsid w:val="00EB25AC"/>
    <w:rsid w:val="00EB55D3"/>
    <w:rsid w:val="00EB71D8"/>
    <w:rsid w:val="00EB74F4"/>
    <w:rsid w:val="00EC08BE"/>
    <w:rsid w:val="00EC1301"/>
    <w:rsid w:val="00EC2174"/>
    <w:rsid w:val="00EC35FB"/>
    <w:rsid w:val="00EC39D5"/>
    <w:rsid w:val="00ED0515"/>
    <w:rsid w:val="00ED4B64"/>
    <w:rsid w:val="00EE36B7"/>
    <w:rsid w:val="00EE50B9"/>
    <w:rsid w:val="00EE6617"/>
    <w:rsid w:val="00EE6E27"/>
    <w:rsid w:val="00EF3EDA"/>
    <w:rsid w:val="00EF4D73"/>
    <w:rsid w:val="00EF4F86"/>
    <w:rsid w:val="00EF5B84"/>
    <w:rsid w:val="00EF6F15"/>
    <w:rsid w:val="00F00D95"/>
    <w:rsid w:val="00F02074"/>
    <w:rsid w:val="00F026D0"/>
    <w:rsid w:val="00F03065"/>
    <w:rsid w:val="00F03D0D"/>
    <w:rsid w:val="00F04200"/>
    <w:rsid w:val="00F063E7"/>
    <w:rsid w:val="00F07017"/>
    <w:rsid w:val="00F07419"/>
    <w:rsid w:val="00F1668A"/>
    <w:rsid w:val="00F17E08"/>
    <w:rsid w:val="00F209A2"/>
    <w:rsid w:val="00F210EC"/>
    <w:rsid w:val="00F21565"/>
    <w:rsid w:val="00F225C0"/>
    <w:rsid w:val="00F22E45"/>
    <w:rsid w:val="00F24382"/>
    <w:rsid w:val="00F273B8"/>
    <w:rsid w:val="00F27AD5"/>
    <w:rsid w:val="00F30257"/>
    <w:rsid w:val="00F327DE"/>
    <w:rsid w:val="00F3366B"/>
    <w:rsid w:val="00F37717"/>
    <w:rsid w:val="00F42D2E"/>
    <w:rsid w:val="00F43767"/>
    <w:rsid w:val="00F462EC"/>
    <w:rsid w:val="00F507AC"/>
    <w:rsid w:val="00F5121C"/>
    <w:rsid w:val="00F54804"/>
    <w:rsid w:val="00F54C5A"/>
    <w:rsid w:val="00F552A6"/>
    <w:rsid w:val="00F561AC"/>
    <w:rsid w:val="00F561C2"/>
    <w:rsid w:val="00F57A04"/>
    <w:rsid w:val="00F62530"/>
    <w:rsid w:val="00F6265F"/>
    <w:rsid w:val="00F62A40"/>
    <w:rsid w:val="00F6357C"/>
    <w:rsid w:val="00F6439D"/>
    <w:rsid w:val="00F70125"/>
    <w:rsid w:val="00F7063C"/>
    <w:rsid w:val="00F7108E"/>
    <w:rsid w:val="00F710C3"/>
    <w:rsid w:val="00F76546"/>
    <w:rsid w:val="00F80826"/>
    <w:rsid w:val="00F80DBE"/>
    <w:rsid w:val="00F81626"/>
    <w:rsid w:val="00F82289"/>
    <w:rsid w:val="00F8554F"/>
    <w:rsid w:val="00F85E5F"/>
    <w:rsid w:val="00F9615E"/>
    <w:rsid w:val="00F9694B"/>
    <w:rsid w:val="00F96B7E"/>
    <w:rsid w:val="00F96C7E"/>
    <w:rsid w:val="00FA09F7"/>
    <w:rsid w:val="00FA0A5D"/>
    <w:rsid w:val="00FA0EF6"/>
    <w:rsid w:val="00FA169C"/>
    <w:rsid w:val="00FA308C"/>
    <w:rsid w:val="00FA44CF"/>
    <w:rsid w:val="00FA612A"/>
    <w:rsid w:val="00FA622D"/>
    <w:rsid w:val="00FA6E6D"/>
    <w:rsid w:val="00FB2F2D"/>
    <w:rsid w:val="00FB699C"/>
    <w:rsid w:val="00FB6AD1"/>
    <w:rsid w:val="00FB792E"/>
    <w:rsid w:val="00FB7CF7"/>
    <w:rsid w:val="00FC4529"/>
    <w:rsid w:val="00FC5714"/>
    <w:rsid w:val="00FD17E8"/>
    <w:rsid w:val="00FD213F"/>
    <w:rsid w:val="00FD4199"/>
    <w:rsid w:val="00FD448A"/>
    <w:rsid w:val="00FD449A"/>
    <w:rsid w:val="00FD688F"/>
    <w:rsid w:val="00FD72B1"/>
    <w:rsid w:val="00FE26CC"/>
    <w:rsid w:val="00FE4D7E"/>
    <w:rsid w:val="00FE60F4"/>
    <w:rsid w:val="00FE77C9"/>
    <w:rsid w:val="00FE7E91"/>
    <w:rsid w:val="00FE7EFD"/>
    <w:rsid w:val="00FF0189"/>
    <w:rsid w:val="00FF1D93"/>
    <w:rsid w:val="00FF351B"/>
    <w:rsid w:val="00FF4466"/>
    <w:rsid w:val="00FF685A"/>
    <w:rsid w:val="00FF77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DC92"/>
  <w15:docId w15:val="{C77C1333-CB8B-4376-A41B-938DD74D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BB"/>
  </w:style>
  <w:style w:type="paragraph" w:styleId="Heading1">
    <w:name w:val="heading 1"/>
    <w:basedOn w:val="Normal"/>
    <w:next w:val="Normal"/>
    <w:link w:val="Heading1Char"/>
    <w:uiPriority w:val="9"/>
    <w:qFormat/>
    <w:rsid w:val="002858AE"/>
    <w:pPr>
      <w:keepNext/>
      <w:keepLines/>
      <w:spacing w:before="240" w:after="0"/>
      <w:outlineLvl w:val="0"/>
    </w:pPr>
    <w:rPr>
      <w:rFonts w:ascii="Times New Roman" w:eastAsia="Times New Roman" w:hAnsi="Times New Roman" w:cs="Times New Roman"/>
      <w:b/>
      <w:color w:val="000000"/>
      <w:sz w:val="28"/>
      <w:szCs w:val="32"/>
    </w:rPr>
  </w:style>
  <w:style w:type="paragraph" w:styleId="Heading2">
    <w:name w:val="heading 2"/>
    <w:basedOn w:val="Normal"/>
    <w:next w:val="Normal"/>
    <w:link w:val="Heading2Char"/>
    <w:uiPriority w:val="9"/>
    <w:unhideWhenUsed/>
    <w:qFormat/>
    <w:rsid w:val="00553AE1"/>
    <w:pPr>
      <w:keepNext/>
      <w:keepLines/>
      <w:spacing w:before="360" w:after="240"/>
      <w:outlineLvl w:val="1"/>
    </w:pPr>
    <w:rPr>
      <w:rFonts w:ascii="Times New Roman" w:eastAsia="Times New Roman" w:hAnsi="Times New Roman" w:cs="Times New Roman"/>
      <w:b/>
      <w:color w:val="000000"/>
      <w:sz w:val="24"/>
      <w:szCs w:val="26"/>
    </w:rPr>
  </w:style>
  <w:style w:type="paragraph" w:styleId="Heading3">
    <w:name w:val="heading 3"/>
    <w:basedOn w:val="Normal"/>
    <w:next w:val="Normal"/>
    <w:link w:val="Heading3Char"/>
    <w:uiPriority w:val="9"/>
    <w:unhideWhenUsed/>
    <w:qFormat/>
    <w:rsid w:val="00E93FD2"/>
    <w:pPr>
      <w:keepNext/>
      <w:keepLines/>
      <w:spacing w:before="240" w:after="240" w:line="360" w:lineRule="auto"/>
      <w:jc w:val="both"/>
      <w:outlineLvl w:val="2"/>
    </w:pPr>
    <w:rPr>
      <w:rFonts w:ascii="Times New Roman" w:eastAsia="Times New Roman" w:hAnsi="Times New Roman" w:cs="Times New Roman"/>
      <w:b/>
      <w:sz w:val="24"/>
    </w:rPr>
  </w:style>
  <w:style w:type="paragraph" w:styleId="Heading4">
    <w:name w:val="heading 4"/>
    <w:basedOn w:val="Normal"/>
    <w:next w:val="Normal"/>
    <w:link w:val="Heading4Char"/>
    <w:uiPriority w:val="9"/>
    <w:unhideWhenUsed/>
    <w:qFormat/>
    <w:rsid w:val="00E93FD2"/>
    <w:pPr>
      <w:keepNext/>
      <w:keepLines/>
      <w:spacing w:before="240" w:after="240" w:line="360" w:lineRule="auto"/>
      <w:outlineLvl w:val="3"/>
    </w:pPr>
    <w:rPr>
      <w:rFonts w:ascii="Times New Roman" w:eastAsia="Times New Roman" w:hAnsi="Times New Roman" w:cs="Times New Roman"/>
      <w:b/>
      <w:iCs/>
      <w:color w:val="000000"/>
      <w:sz w:val="24"/>
    </w:rPr>
  </w:style>
  <w:style w:type="paragraph" w:styleId="Heading5">
    <w:name w:val="heading 5"/>
    <w:basedOn w:val="Normal"/>
    <w:next w:val="Normal"/>
    <w:link w:val="Heading5Char"/>
    <w:uiPriority w:val="9"/>
    <w:semiHidden/>
    <w:unhideWhenUsed/>
    <w:qFormat/>
    <w:rsid w:val="002858AE"/>
    <w:pPr>
      <w:keepNext/>
      <w:keepLines/>
      <w:spacing w:before="40" w:after="0"/>
      <w:outlineLvl w:val="4"/>
    </w:pPr>
    <w:rPr>
      <w:rFonts w:ascii="Times New Roman" w:eastAsia="Times New Roman" w:hAnsi="Times New Roman" w:cs="Times New Roman"/>
      <w:b/>
    </w:rPr>
  </w:style>
  <w:style w:type="paragraph" w:styleId="Heading6">
    <w:name w:val="heading 6"/>
    <w:basedOn w:val="Normal"/>
    <w:next w:val="Normal"/>
    <w:link w:val="Heading6Char"/>
    <w:uiPriority w:val="9"/>
    <w:semiHidden/>
    <w:unhideWhenUsed/>
    <w:qFormat/>
    <w:rsid w:val="002858AE"/>
    <w:pPr>
      <w:keepNext/>
      <w:keepLines/>
      <w:spacing w:before="40" w:after="0"/>
      <w:outlineLvl w:val="5"/>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5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81B"/>
    <w:rPr>
      <w:rFonts w:ascii="Tahoma" w:hAnsi="Tahoma" w:cs="Tahoma"/>
      <w:sz w:val="16"/>
      <w:szCs w:val="16"/>
    </w:rPr>
  </w:style>
  <w:style w:type="character" w:customStyle="1" w:styleId="yazi">
    <w:name w:val="yazi"/>
    <w:basedOn w:val="DefaultParagraphFont"/>
    <w:rsid w:val="00CA4613"/>
  </w:style>
  <w:style w:type="paragraph" w:customStyle="1" w:styleId="Balk11">
    <w:name w:val="Başlık 11"/>
    <w:basedOn w:val="Normal"/>
    <w:next w:val="Normal"/>
    <w:uiPriority w:val="9"/>
    <w:qFormat/>
    <w:rsid w:val="002858AE"/>
    <w:pPr>
      <w:keepNext/>
      <w:keepLines/>
      <w:spacing w:before="240" w:after="120" w:line="360" w:lineRule="auto"/>
      <w:ind w:firstLine="851"/>
      <w:jc w:val="center"/>
      <w:outlineLvl w:val="0"/>
    </w:pPr>
    <w:rPr>
      <w:rFonts w:ascii="Times New Roman" w:eastAsia="Times New Roman" w:hAnsi="Times New Roman" w:cs="Times New Roman"/>
      <w:b/>
      <w:color w:val="000000"/>
      <w:sz w:val="28"/>
      <w:szCs w:val="32"/>
    </w:rPr>
  </w:style>
  <w:style w:type="paragraph" w:customStyle="1" w:styleId="Balk21">
    <w:name w:val="Başlık 21"/>
    <w:basedOn w:val="Normal"/>
    <w:next w:val="Normal"/>
    <w:uiPriority w:val="9"/>
    <w:unhideWhenUsed/>
    <w:qFormat/>
    <w:rsid w:val="002858AE"/>
    <w:pPr>
      <w:keepNext/>
      <w:keepLines/>
      <w:spacing w:before="160" w:after="240" w:line="360" w:lineRule="auto"/>
      <w:ind w:firstLine="851"/>
      <w:jc w:val="both"/>
      <w:outlineLvl w:val="1"/>
    </w:pPr>
    <w:rPr>
      <w:rFonts w:ascii="Times New Roman" w:eastAsia="Times New Roman" w:hAnsi="Times New Roman" w:cs="Times New Roman"/>
      <w:b/>
      <w:color w:val="000000"/>
      <w:sz w:val="24"/>
      <w:szCs w:val="26"/>
    </w:rPr>
  </w:style>
  <w:style w:type="paragraph" w:customStyle="1" w:styleId="Balk31">
    <w:name w:val="Başlık 31"/>
    <w:basedOn w:val="Normal"/>
    <w:next w:val="Normal"/>
    <w:uiPriority w:val="9"/>
    <w:unhideWhenUsed/>
    <w:qFormat/>
    <w:rsid w:val="002858AE"/>
    <w:pPr>
      <w:keepNext/>
      <w:keepLines/>
      <w:spacing w:before="160" w:after="240" w:line="360" w:lineRule="auto"/>
      <w:ind w:firstLine="851"/>
      <w:jc w:val="both"/>
      <w:outlineLvl w:val="2"/>
    </w:pPr>
    <w:rPr>
      <w:rFonts w:ascii="Times New Roman" w:eastAsia="Times New Roman" w:hAnsi="Times New Roman" w:cs="Times New Roman"/>
      <w:b/>
      <w:sz w:val="24"/>
      <w:szCs w:val="24"/>
    </w:rPr>
  </w:style>
  <w:style w:type="paragraph" w:customStyle="1" w:styleId="Balk41">
    <w:name w:val="Başlık 41"/>
    <w:basedOn w:val="Normal"/>
    <w:next w:val="Normal"/>
    <w:uiPriority w:val="9"/>
    <w:unhideWhenUsed/>
    <w:qFormat/>
    <w:rsid w:val="002858AE"/>
    <w:pPr>
      <w:keepNext/>
      <w:keepLines/>
      <w:spacing w:before="40" w:after="120" w:line="360" w:lineRule="auto"/>
      <w:ind w:firstLine="851"/>
      <w:jc w:val="both"/>
      <w:outlineLvl w:val="3"/>
    </w:pPr>
    <w:rPr>
      <w:rFonts w:ascii="Times New Roman" w:eastAsia="Times New Roman" w:hAnsi="Times New Roman" w:cs="Times New Roman"/>
      <w:b/>
      <w:iCs/>
      <w:color w:val="000000"/>
      <w:sz w:val="24"/>
      <w:szCs w:val="24"/>
    </w:rPr>
  </w:style>
  <w:style w:type="paragraph" w:customStyle="1" w:styleId="Balk51">
    <w:name w:val="Başlık 51"/>
    <w:basedOn w:val="Normal"/>
    <w:next w:val="Normal"/>
    <w:uiPriority w:val="9"/>
    <w:unhideWhenUsed/>
    <w:qFormat/>
    <w:rsid w:val="002858AE"/>
    <w:pPr>
      <w:keepNext/>
      <w:keepLines/>
      <w:spacing w:before="40" w:after="120" w:line="360" w:lineRule="auto"/>
      <w:ind w:firstLine="851"/>
      <w:jc w:val="both"/>
      <w:outlineLvl w:val="4"/>
    </w:pPr>
    <w:rPr>
      <w:rFonts w:ascii="Times New Roman" w:eastAsia="Times New Roman" w:hAnsi="Times New Roman" w:cs="Times New Roman"/>
      <w:b/>
      <w:sz w:val="24"/>
      <w:szCs w:val="24"/>
    </w:rPr>
  </w:style>
  <w:style w:type="paragraph" w:customStyle="1" w:styleId="Balk61">
    <w:name w:val="Başlık 61"/>
    <w:basedOn w:val="Normal"/>
    <w:next w:val="Normal"/>
    <w:uiPriority w:val="9"/>
    <w:semiHidden/>
    <w:unhideWhenUsed/>
    <w:qFormat/>
    <w:rsid w:val="002858AE"/>
    <w:pPr>
      <w:keepNext/>
      <w:keepLines/>
      <w:spacing w:before="40" w:after="120" w:line="360" w:lineRule="auto"/>
      <w:ind w:firstLine="851"/>
      <w:jc w:val="both"/>
      <w:outlineLvl w:val="5"/>
    </w:pPr>
    <w:rPr>
      <w:rFonts w:ascii="Times New Roman" w:eastAsia="Times New Roman" w:hAnsi="Times New Roman" w:cs="Times New Roman"/>
      <w:b/>
      <w:color w:val="000000"/>
      <w:sz w:val="24"/>
      <w:szCs w:val="24"/>
    </w:rPr>
  </w:style>
  <w:style w:type="numbering" w:customStyle="1" w:styleId="ListeYok1">
    <w:name w:val="Liste Yok1"/>
    <w:next w:val="NoList"/>
    <w:uiPriority w:val="99"/>
    <w:semiHidden/>
    <w:unhideWhenUsed/>
    <w:rsid w:val="002858AE"/>
  </w:style>
  <w:style w:type="character" w:customStyle="1" w:styleId="Heading1Char">
    <w:name w:val="Heading 1 Char"/>
    <w:basedOn w:val="DefaultParagraphFont"/>
    <w:link w:val="Heading1"/>
    <w:uiPriority w:val="9"/>
    <w:rsid w:val="002858AE"/>
    <w:rPr>
      <w:rFonts w:ascii="Times New Roman" w:eastAsia="Times New Roman" w:hAnsi="Times New Roman" w:cs="Times New Roman"/>
      <w:b/>
      <w:color w:val="000000"/>
      <w:sz w:val="28"/>
      <w:szCs w:val="32"/>
      <w:lang w:val="tr-TR"/>
    </w:rPr>
  </w:style>
  <w:style w:type="character" w:customStyle="1" w:styleId="Heading2Char">
    <w:name w:val="Heading 2 Char"/>
    <w:basedOn w:val="DefaultParagraphFont"/>
    <w:link w:val="Heading2"/>
    <w:uiPriority w:val="9"/>
    <w:rsid w:val="00553AE1"/>
    <w:rPr>
      <w:rFonts w:ascii="Times New Roman" w:eastAsia="Times New Roman" w:hAnsi="Times New Roman" w:cs="Times New Roman"/>
      <w:b/>
      <w:color w:val="000000"/>
      <w:sz w:val="24"/>
      <w:szCs w:val="26"/>
    </w:rPr>
  </w:style>
  <w:style w:type="character" w:customStyle="1" w:styleId="Heading3Char">
    <w:name w:val="Heading 3 Char"/>
    <w:basedOn w:val="DefaultParagraphFont"/>
    <w:link w:val="Heading3"/>
    <w:uiPriority w:val="9"/>
    <w:rsid w:val="00E93FD2"/>
    <w:rPr>
      <w:rFonts w:ascii="Times New Roman" w:eastAsia="Times New Roman" w:hAnsi="Times New Roman" w:cs="Times New Roman"/>
      <w:b/>
      <w:sz w:val="24"/>
    </w:rPr>
  </w:style>
  <w:style w:type="character" w:customStyle="1" w:styleId="Heading4Char">
    <w:name w:val="Heading 4 Char"/>
    <w:basedOn w:val="DefaultParagraphFont"/>
    <w:link w:val="Heading4"/>
    <w:uiPriority w:val="9"/>
    <w:rsid w:val="00E93FD2"/>
    <w:rPr>
      <w:rFonts w:ascii="Times New Roman" w:eastAsia="Times New Roman" w:hAnsi="Times New Roman" w:cs="Times New Roman"/>
      <w:b/>
      <w:iCs/>
      <w:color w:val="000000"/>
      <w:sz w:val="24"/>
    </w:rPr>
  </w:style>
  <w:style w:type="character" w:customStyle="1" w:styleId="Heading5Char">
    <w:name w:val="Heading 5 Char"/>
    <w:basedOn w:val="DefaultParagraphFont"/>
    <w:link w:val="Heading5"/>
    <w:uiPriority w:val="9"/>
    <w:rsid w:val="002858AE"/>
    <w:rPr>
      <w:rFonts w:ascii="Times New Roman" w:eastAsia="Times New Roman" w:hAnsi="Times New Roman" w:cs="Times New Roman"/>
      <w:b/>
      <w:lang w:val="tr-TR"/>
    </w:rPr>
  </w:style>
  <w:style w:type="character" w:customStyle="1" w:styleId="Heading6Char">
    <w:name w:val="Heading 6 Char"/>
    <w:basedOn w:val="DefaultParagraphFont"/>
    <w:link w:val="Heading6"/>
    <w:uiPriority w:val="9"/>
    <w:semiHidden/>
    <w:rsid w:val="002858AE"/>
    <w:rPr>
      <w:rFonts w:ascii="Times New Roman" w:eastAsia="Times New Roman" w:hAnsi="Times New Roman" w:cs="Times New Roman"/>
      <w:b/>
      <w:color w:val="000000"/>
      <w:lang w:val="tr-TR"/>
    </w:rPr>
  </w:style>
  <w:style w:type="paragraph" w:styleId="TableofFigures">
    <w:name w:val="table of figures"/>
    <w:basedOn w:val="Normal"/>
    <w:next w:val="Normal"/>
    <w:link w:val="TableofFiguresChar"/>
    <w:uiPriority w:val="99"/>
    <w:unhideWhenUsed/>
    <w:rsid w:val="002858AE"/>
    <w:pPr>
      <w:spacing w:before="120" w:after="120" w:line="360" w:lineRule="auto"/>
      <w:jc w:val="both"/>
    </w:pPr>
    <w:rPr>
      <w:rFonts w:ascii="Times" w:eastAsia="Times New Roman" w:hAnsi="Times" w:cs="Times New Roman"/>
      <w:sz w:val="24"/>
      <w:szCs w:val="24"/>
      <w:lang w:val="en-US" w:eastAsia="tr-TR"/>
    </w:rPr>
  </w:style>
  <w:style w:type="character" w:customStyle="1" w:styleId="TableofFiguresChar">
    <w:name w:val="Table of Figures Char"/>
    <w:basedOn w:val="DefaultParagraphFont"/>
    <w:link w:val="TableofFigures"/>
    <w:uiPriority w:val="99"/>
    <w:rsid w:val="002858AE"/>
    <w:rPr>
      <w:rFonts w:ascii="Times" w:eastAsia="Times New Roman" w:hAnsi="Times" w:cs="Times New Roman"/>
      <w:sz w:val="24"/>
      <w:szCs w:val="24"/>
      <w:lang w:val="en-US" w:eastAsia="tr-TR"/>
    </w:rPr>
  </w:style>
  <w:style w:type="character" w:customStyle="1" w:styleId="Kpr1">
    <w:name w:val="Köprü1"/>
    <w:basedOn w:val="DefaultParagraphFont"/>
    <w:uiPriority w:val="99"/>
    <w:unhideWhenUsed/>
    <w:rsid w:val="002858AE"/>
    <w:rPr>
      <w:color w:val="0563C1"/>
      <w:u w:val="single"/>
    </w:rPr>
  </w:style>
  <w:style w:type="character" w:customStyle="1" w:styleId="UnresolvedMention1">
    <w:name w:val="Unresolved Mention1"/>
    <w:basedOn w:val="DefaultParagraphFont"/>
    <w:uiPriority w:val="99"/>
    <w:semiHidden/>
    <w:unhideWhenUsed/>
    <w:rsid w:val="002858AE"/>
    <w:rPr>
      <w:color w:val="605E5C"/>
      <w:shd w:val="clear" w:color="auto" w:fill="E1DFDD"/>
    </w:rPr>
  </w:style>
  <w:style w:type="paragraph" w:customStyle="1" w:styleId="DipnotMetni1">
    <w:name w:val="Dipnot Metni1"/>
    <w:basedOn w:val="Normal"/>
    <w:next w:val="FootnoteText"/>
    <w:link w:val="DipnotMetniChar"/>
    <w:uiPriority w:val="99"/>
    <w:unhideWhenUsed/>
    <w:rsid w:val="002858AE"/>
    <w:pPr>
      <w:spacing w:before="120" w:after="120" w:line="360" w:lineRule="auto"/>
      <w:jc w:val="both"/>
    </w:pPr>
    <w:rPr>
      <w:rFonts w:ascii="Times New Roman" w:hAnsi="Times New Roman"/>
      <w:sz w:val="20"/>
      <w:szCs w:val="20"/>
    </w:rPr>
  </w:style>
  <w:style w:type="character" w:customStyle="1" w:styleId="DipnotMetniChar">
    <w:name w:val="Dipnot Metni Char"/>
    <w:basedOn w:val="DefaultParagraphFont"/>
    <w:link w:val="DipnotMetni1"/>
    <w:uiPriority w:val="99"/>
    <w:rsid w:val="002858AE"/>
    <w:rPr>
      <w:rFonts w:ascii="Times New Roman" w:hAnsi="Times New Roman"/>
      <w:sz w:val="20"/>
      <w:szCs w:val="20"/>
    </w:rPr>
  </w:style>
  <w:style w:type="character" w:styleId="FootnoteReference">
    <w:name w:val="footnote reference"/>
    <w:basedOn w:val="DefaultParagraphFont"/>
    <w:uiPriority w:val="99"/>
    <w:unhideWhenUsed/>
    <w:rsid w:val="002858AE"/>
    <w:rPr>
      <w:vertAlign w:val="superscript"/>
    </w:rPr>
  </w:style>
  <w:style w:type="paragraph" w:customStyle="1" w:styleId="ListeParagraf1">
    <w:name w:val="Liste Paragraf1"/>
    <w:basedOn w:val="Normal"/>
    <w:next w:val="ListParagraph"/>
    <w:uiPriority w:val="34"/>
    <w:qFormat/>
    <w:rsid w:val="002858AE"/>
    <w:pPr>
      <w:spacing w:before="120" w:after="120" w:line="360" w:lineRule="auto"/>
      <w:ind w:left="720"/>
      <w:contextualSpacing/>
      <w:jc w:val="both"/>
    </w:pPr>
    <w:rPr>
      <w:rFonts w:ascii="Times New Roman" w:hAnsi="Times New Roman"/>
      <w:sz w:val="24"/>
      <w:szCs w:val="24"/>
      <w:lang w:val="en-US"/>
    </w:rPr>
  </w:style>
  <w:style w:type="character" w:customStyle="1" w:styleId="clearfix">
    <w:name w:val="clearfix"/>
    <w:basedOn w:val="DefaultParagraphFont"/>
    <w:rsid w:val="002858AE"/>
  </w:style>
  <w:style w:type="paragraph" w:styleId="NormalWeb">
    <w:name w:val="Normal (Web)"/>
    <w:basedOn w:val="Normal"/>
    <w:uiPriority w:val="99"/>
    <w:unhideWhenUsed/>
    <w:rsid w:val="002858AE"/>
    <w:pPr>
      <w:spacing w:before="100" w:beforeAutospacing="1" w:after="100" w:afterAutospacing="1" w:line="360" w:lineRule="auto"/>
      <w:jc w:val="both"/>
    </w:pPr>
    <w:rPr>
      <w:rFonts w:ascii="Times New Roman" w:eastAsia="Times New Roman" w:hAnsi="Times New Roman" w:cs="Times New Roman"/>
      <w:sz w:val="24"/>
      <w:szCs w:val="24"/>
      <w:lang w:val="en-US"/>
    </w:rPr>
  </w:style>
  <w:style w:type="character" w:customStyle="1" w:styleId="zlenenKpr1">
    <w:name w:val="İzlenen Köprü1"/>
    <w:basedOn w:val="DefaultParagraphFont"/>
    <w:uiPriority w:val="99"/>
    <w:semiHidden/>
    <w:unhideWhenUsed/>
    <w:rsid w:val="002858AE"/>
    <w:rPr>
      <w:color w:val="954F72"/>
      <w:u w:val="single"/>
    </w:rPr>
  </w:style>
  <w:style w:type="character" w:customStyle="1" w:styleId="UnresolvedMention2">
    <w:name w:val="Unresolved Mention2"/>
    <w:basedOn w:val="DefaultParagraphFont"/>
    <w:uiPriority w:val="99"/>
    <w:semiHidden/>
    <w:unhideWhenUsed/>
    <w:rsid w:val="002858AE"/>
    <w:rPr>
      <w:color w:val="605E5C"/>
      <w:shd w:val="clear" w:color="auto" w:fill="E1DFDD"/>
    </w:rPr>
  </w:style>
  <w:style w:type="paragraph" w:customStyle="1" w:styleId="articleparagraph">
    <w:name w:val="article__paragraph"/>
    <w:basedOn w:val="Normal"/>
    <w:rsid w:val="002858AE"/>
    <w:pPr>
      <w:spacing w:before="100" w:beforeAutospacing="1" w:after="100" w:afterAutospacing="1" w:line="360" w:lineRule="auto"/>
      <w:jc w:val="both"/>
    </w:pPr>
    <w:rPr>
      <w:rFonts w:ascii="Times New Roman" w:eastAsia="Times New Roman" w:hAnsi="Times New Roman" w:cs="Times New Roman"/>
      <w:sz w:val="24"/>
      <w:szCs w:val="24"/>
      <w:lang w:val="en-US"/>
    </w:rPr>
  </w:style>
  <w:style w:type="paragraph" w:customStyle="1" w:styleId="stBilgi1">
    <w:name w:val="Üst Bilgi1"/>
    <w:basedOn w:val="Normal"/>
    <w:next w:val="Header"/>
    <w:link w:val="stBilgiChar"/>
    <w:uiPriority w:val="99"/>
    <w:unhideWhenUsed/>
    <w:rsid w:val="002858AE"/>
    <w:pPr>
      <w:tabs>
        <w:tab w:val="center" w:pos="4680"/>
        <w:tab w:val="right" w:pos="9360"/>
      </w:tabs>
      <w:spacing w:before="120" w:after="120" w:line="360" w:lineRule="auto"/>
      <w:jc w:val="both"/>
    </w:pPr>
    <w:rPr>
      <w:rFonts w:ascii="Times New Roman" w:hAnsi="Times New Roman"/>
    </w:rPr>
  </w:style>
  <w:style w:type="character" w:customStyle="1" w:styleId="stBilgiChar">
    <w:name w:val="Üst Bilgi Char"/>
    <w:basedOn w:val="DefaultParagraphFont"/>
    <w:link w:val="stBilgi1"/>
    <w:uiPriority w:val="99"/>
    <w:rsid w:val="002858AE"/>
    <w:rPr>
      <w:rFonts w:ascii="Times New Roman" w:hAnsi="Times New Roman"/>
    </w:rPr>
  </w:style>
  <w:style w:type="paragraph" w:customStyle="1" w:styleId="AltBilgi1">
    <w:name w:val="Alt Bilgi1"/>
    <w:basedOn w:val="Normal"/>
    <w:next w:val="Footer"/>
    <w:link w:val="AltBilgiChar"/>
    <w:uiPriority w:val="99"/>
    <w:unhideWhenUsed/>
    <w:rsid w:val="002858AE"/>
    <w:pPr>
      <w:tabs>
        <w:tab w:val="center" w:pos="4680"/>
        <w:tab w:val="right" w:pos="9360"/>
      </w:tabs>
      <w:spacing w:before="120" w:after="120" w:line="360" w:lineRule="auto"/>
      <w:jc w:val="both"/>
    </w:pPr>
    <w:rPr>
      <w:rFonts w:ascii="Times New Roman" w:hAnsi="Times New Roman"/>
    </w:rPr>
  </w:style>
  <w:style w:type="character" w:customStyle="1" w:styleId="AltBilgiChar">
    <w:name w:val="Alt Bilgi Char"/>
    <w:basedOn w:val="DefaultParagraphFont"/>
    <w:link w:val="AltBilgi1"/>
    <w:uiPriority w:val="99"/>
    <w:rsid w:val="002858AE"/>
    <w:rPr>
      <w:rFonts w:ascii="Times New Roman" w:hAnsi="Times New Roman"/>
    </w:rPr>
  </w:style>
  <w:style w:type="character" w:styleId="PageNumber">
    <w:name w:val="page number"/>
    <w:basedOn w:val="DefaultParagraphFont"/>
    <w:uiPriority w:val="99"/>
    <w:semiHidden/>
    <w:unhideWhenUsed/>
    <w:rsid w:val="002858AE"/>
  </w:style>
  <w:style w:type="paragraph" w:customStyle="1" w:styleId="T11">
    <w:name w:val="İÇT 11"/>
    <w:basedOn w:val="Normal"/>
    <w:next w:val="Normal"/>
    <w:autoRedefine/>
    <w:uiPriority w:val="39"/>
    <w:unhideWhenUsed/>
    <w:rsid w:val="002858AE"/>
    <w:pPr>
      <w:tabs>
        <w:tab w:val="left" w:pos="1440"/>
        <w:tab w:val="right" w:leader="dot" w:pos="8544"/>
      </w:tabs>
      <w:spacing w:before="120" w:after="120" w:line="240" w:lineRule="auto"/>
      <w:ind w:left="993"/>
      <w:jc w:val="both"/>
    </w:pPr>
    <w:rPr>
      <w:rFonts w:ascii="Times New Roman" w:hAnsi="Times New Roman"/>
      <w:b/>
      <w:bCs/>
      <w:noProof/>
      <w:color w:val="000000"/>
      <w:sz w:val="24"/>
      <w:szCs w:val="24"/>
    </w:rPr>
  </w:style>
  <w:style w:type="paragraph" w:customStyle="1" w:styleId="T21">
    <w:name w:val="İÇT 21"/>
    <w:basedOn w:val="Normal"/>
    <w:next w:val="Normal"/>
    <w:autoRedefine/>
    <w:uiPriority w:val="39"/>
    <w:unhideWhenUsed/>
    <w:rsid w:val="002858AE"/>
    <w:pPr>
      <w:spacing w:before="120" w:after="120" w:line="360" w:lineRule="auto"/>
      <w:ind w:left="240" w:firstLine="851"/>
      <w:jc w:val="both"/>
    </w:pPr>
    <w:rPr>
      <w:rFonts w:ascii="Times New Roman" w:hAnsi="Times New Roman"/>
      <w:color w:val="000000"/>
      <w:sz w:val="24"/>
      <w:szCs w:val="24"/>
    </w:rPr>
  </w:style>
  <w:style w:type="paragraph" w:customStyle="1" w:styleId="T31">
    <w:name w:val="İÇT 31"/>
    <w:basedOn w:val="Normal"/>
    <w:next w:val="Normal"/>
    <w:autoRedefine/>
    <w:uiPriority w:val="39"/>
    <w:unhideWhenUsed/>
    <w:rsid w:val="002858AE"/>
    <w:pPr>
      <w:spacing w:before="120" w:after="120" w:line="360" w:lineRule="auto"/>
      <w:ind w:left="480" w:firstLine="851"/>
      <w:jc w:val="both"/>
    </w:pPr>
    <w:rPr>
      <w:rFonts w:ascii="Times New Roman" w:hAnsi="Times New Roman"/>
      <w:color w:val="000000"/>
      <w:sz w:val="24"/>
      <w:szCs w:val="24"/>
    </w:rPr>
  </w:style>
  <w:style w:type="paragraph" w:customStyle="1" w:styleId="T41">
    <w:name w:val="İÇT 41"/>
    <w:basedOn w:val="Normal"/>
    <w:next w:val="Normal"/>
    <w:autoRedefine/>
    <w:uiPriority w:val="39"/>
    <w:unhideWhenUsed/>
    <w:rsid w:val="002858AE"/>
    <w:pPr>
      <w:tabs>
        <w:tab w:val="right" w:leader="dot" w:pos="8544"/>
      </w:tabs>
      <w:spacing w:before="120" w:after="120" w:line="360" w:lineRule="auto"/>
      <w:ind w:left="720" w:firstLine="851"/>
      <w:jc w:val="both"/>
    </w:pPr>
    <w:rPr>
      <w:rFonts w:ascii="Times New Roman" w:hAnsi="Times New Roman"/>
      <w:color w:val="000000"/>
      <w:sz w:val="24"/>
      <w:szCs w:val="24"/>
    </w:rPr>
  </w:style>
  <w:style w:type="paragraph" w:customStyle="1" w:styleId="T51">
    <w:name w:val="İÇT 51"/>
    <w:basedOn w:val="Normal"/>
    <w:next w:val="Normal"/>
    <w:autoRedefine/>
    <w:uiPriority w:val="39"/>
    <w:unhideWhenUsed/>
    <w:rsid w:val="002858AE"/>
    <w:pPr>
      <w:spacing w:before="120" w:after="120" w:line="360" w:lineRule="auto"/>
      <w:ind w:left="960" w:firstLine="851"/>
      <w:jc w:val="both"/>
    </w:pPr>
    <w:rPr>
      <w:rFonts w:ascii="Times New Roman" w:hAnsi="Times New Roman"/>
      <w:color w:val="000000"/>
      <w:sz w:val="24"/>
      <w:szCs w:val="24"/>
    </w:rPr>
  </w:style>
  <w:style w:type="paragraph" w:customStyle="1" w:styleId="T61">
    <w:name w:val="İÇT 61"/>
    <w:basedOn w:val="Normal"/>
    <w:next w:val="Normal"/>
    <w:autoRedefine/>
    <w:uiPriority w:val="39"/>
    <w:unhideWhenUsed/>
    <w:rsid w:val="002858AE"/>
    <w:pPr>
      <w:spacing w:before="120" w:after="120" w:line="360" w:lineRule="auto"/>
      <w:ind w:left="1200" w:firstLine="851"/>
      <w:jc w:val="both"/>
    </w:pPr>
    <w:rPr>
      <w:rFonts w:ascii="Times New Roman" w:hAnsi="Times New Roman"/>
      <w:color w:val="000000"/>
      <w:sz w:val="24"/>
      <w:szCs w:val="24"/>
    </w:rPr>
  </w:style>
  <w:style w:type="paragraph" w:customStyle="1" w:styleId="T71">
    <w:name w:val="İÇT 71"/>
    <w:basedOn w:val="Normal"/>
    <w:next w:val="Normal"/>
    <w:autoRedefine/>
    <w:uiPriority w:val="39"/>
    <w:unhideWhenUsed/>
    <w:rsid w:val="002858AE"/>
    <w:pPr>
      <w:spacing w:before="120" w:after="120" w:line="360" w:lineRule="auto"/>
      <w:ind w:left="1440" w:firstLine="851"/>
      <w:jc w:val="both"/>
    </w:pPr>
    <w:rPr>
      <w:rFonts w:ascii="Times New Roman" w:hAnsi="Times New Roman"/>
      <w:color w:val="000000"/>
      <w:sz w:val="24"/>
      <w:szCs w:val="24"/>
    </w:rPr>
  </w:style>
  <w:style w:type="paragraph" w:customStyle="1" w:styleId="T81">
    <w:name w:val="İÇT 81"/>
    <w:basedOn w:val="Normal"/>
    <w:next w:val="Normal"/>
    <w:autoRedefine/>
    <w:uiPriority w:val="39"/>
    <w:unhideWhenUsed/>
    <w:rsid w:val="002858AE"/>
    <w:pPr>
      <w:spacing w:before="120" w:after="120" w:line="360" w:lineRule="auto"/>
      <w:ind w:left="1680" w:firstLine="851"/>
      <w:jc w:val="both"/>
    </w:pPr>
    <w:rPr>
      <w:rFonts w:ascii="Times New Roman" w:hAnsi="Times New Roman"/>
      <w:color w:val="000000"/>
      <w:sz w:val="24"/>
      <w:szCs w:val="24"/>
    </w:rPr>
  </w:style>
  <w:style w:type="paragraph" w:customStyle="1" w:styleId="T91">
    <w:name w:val="İÇT 91"/>
    <w:basedOn w:val="Normal"/>
    <w:next w:val="Normal"/>
    <w:autoRedefine/>
    <w:uiPriority w:val="39"/>
    <w:unhideWhenUsed/>
    <w:rsid w:val="002858AE"/>
    <w:pPr>
      <w:spacing w:before="120" w:after="120" w:line="360" w:lineRule="auto"/>
      <w:ind w:left="1920" w:firstLine="851"/>
      <w:jc w:val="both"/>
    </w:pPr>
    <w:rPr>
      <w:rFonts w:ascii="Times New Roman" w:hAnsi="Times New Roman"/>
      <w:color w:val="000000"/>
      <w:sz w:val="24"/>
      <w:szCs w:val="24"/>
    </w:rPr>
  </w:style>
  <w:style w:type="paragraph" w:customStyle="1" w:styleId="ResimYazs1">
    <w:name w:val="Resim Yazısı1"/>
    <w:basedOn w:val="Normal"/>
    <w:next w:val="Normal"/>
    <w:uiPriority w:val="35"/>
    <w:unhideWhenUsed/>
    <w:qFormat/>
    <w:rsid w:val="002858AE"/>
    <w:pPr>
      <w:spacing w:before="120" w:after="200" w:line="360" w:lineRule="auto"/>
      <w:ind w:firstLine="851"/>
      <w:jc w:val="both"/>
    </w:pPr>
    <w:rPr>
      <w:rFonts w:ascii="Times New Roman" w:hAnsi="Times New Roman"/>
      <w:b/>
      <w:iCs/>
      <w:sz w:val="20"/>
      <w:szCs w:val="18"/>
    </w:rPr>
  </w:style>
  <w:style w:type="character" w:styleId="CommentReference">
    <w:name w:val="annotation reference"/>
    <w:basedOn w:val="DefaultParagraphFont"/>
    <w:uiPriority w:val="99"/>
    <w:semiHidden/>
    <w:unhideWhenUsed/>
    <w:rsid w:val="002858AE"/>
    <w:rPr>
      <w:sz w:val="18"/>
      <w:szCs w:val="18"/>
    </w:rPr>
  </w:style>
  <w:style w:type="paragraph" w:customStyle="1" w:styleId="AklamaMetni1">
    <w:name w:val="Açıklama Metni1"/>
    <w:basedOn w:val="Normal"/>
    <w:next w:val="CommentText"/>
    <w:link w:val="AklamaMetniChar"/>
    <w:uiPriority w:val="99"/>
    <w:semiHidden/>
    <w:unhideWhenUsed/>
    <w:rsid w:val="002858AE"/>
    <w:pPr>
      <w:spacing w:before="120" w:after="120" w:line="360" w:lineRule="auto"/>
      <w:ind w:firstLine="851"/>
      <w:jc w:val="both"/>
    </w:pPr>
    <w:rPr>
      <w:rFonts w:ascii="Times New Roman" w:hAnsi="Times New Roman"/>
      <w:color w:val="000000"/>
    </w:rPr>
  </w:style>
  <w:style w:type="character" w:customStyle="1" w:styleId="AklamaMetniChar">
    <w:name w:val="Açıklama Metni Char"/>
    <w:basedOn w:val="DefaultParagraphFont"/>
    <w:link w:val="AklamaMetni1"/>
    <w:uiPriority w:val="99"/>
    <w:semiHidden/>
    <w:rsid w:val="002858AE"/>
    <w:rPr>
      <w:rFonts w:ascii="Times New Roman" w:hAnsi="Times New Roman"/>
      <w:color w:val="000000"/>
      <w:lang w:val="tr-TR"/>
    </w:rPr>
  </w:style>
  <w:style w:type="paragraph" w:customStyle="1" w:styleId="AklamaKonusu1">
    <w:name w:val="Açıklama Konusu1"/>
    <w:basedOn w:val="CommentText"/>
    <w:next w:val="CommentText"/>
    <w:uiPriority w:val="99"/>
    <w:semiHidden/>
    <w:unhideWhenUsed/>
    <w:rsid w:val="002858AE"/>
    <w:pPr>
      <w:spacing w:before="120" w:after="120" w:line="360" w:lineRule="auto"/>
      <w:ind w:firstLine="851"/>
      <w:jc w:val="both"/>
    </w:pPr>
    <w:rPr>
      <w:rFonts w:ascii="Times New Roman" w:hAnsi="Times New Roman"/>
      <w:b/>
      <w:bCs/>
      <w:color w:val="000000"/>
    </w:rPr>
  </w:style>
  <w:style w:type="character" w:customStyle="1" w:styleId="CommentSubjectChar">
    <w:name w:val="Comment Subject Char"/>
    <w:basedOn w:val="AklamaMetniChar"/>
    <w:link w:val="CommentSubject"/>
    <w:uiPriority w:val="99"/>
    <w:semiHidden/>
    <w:rsid w:val="002858AE"/>
    <w:rPr>
      <w:rFonts w:ascii="Times New Roman" w:hAnsi="Times New Roman"/>
      <w:b/>
      <w:bCs/>
      <w:color w:val="000000"/>
      <w:sz w:val="20"/>
      <w:szCs w:val="20"/>
      <w:lang w:val="tr-TR"/>
    </w:rPr>
  </w:style>
  <w:style w:type="paragraph" w:customStyle="1" w:styleId="Bismillahirrahmanirrahim">
    <w:name w:val="Bismillahirrahmanirrahim"/>
    <w:basedOn w:val="Normal"/>
    <w:qFormat/>
    <w:rsid w:val="002858AE"/>
    <w:pPr>
      <w:numPr>
        <w:numId w:val="4"/>
      </w:numPr>
      <w:tabs>
        <w:tab w:val="left" w:pos="851"/>
      </w:tabs>
      <w:spacing w:before="120" w:after="120" w:line="360" w:lineRule="auto"/>
      <w:ind w:right="1418"/>
      <w:jc w:val="both"/>
    </w:pPr>
    <w:rPr>
      <w:rFonts w:ascii="Times New Roman" w:hAnsi="Times New Roman"/>
      <w:color w:val="000000"/>
      <w:sz w:val="24"/>
      <w:szCs w:val="24"/>
    </w:rPr>
  </w:style>
  <w:style w:type="paragraph" w:customStyle="1" w:styleId="Default">
    <w:name w:val="Default"/>
    <w:rsid w:val="002858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zmlenmeyenBahsetme1">
    <w:name w:val="Çözümlenmeyen Bahsetme1"/>
    <w:basedOn w:val="DefaultParagraphFont"/>
    <w:uiPriority w:val="99"/>
    <w:semiHidden/>
    <w:unhideWhenUsed/>
    <w:rsid w:val="002858AE"/>
    <w:rPr>
      <w:color w:val="605E5C"/>
      <w:shd w:val="clear" w:color="auto" w:fill="E1DFDD"/>
    </w:rPr>
  </w:style>
  <w:style w:type="paragraph" w:customStyle="1" w:styleId="Dzeltme1">
    <w:name w:val="Düzeltme1"/>
    <w:next w:val="Revision"/>
    <w:hidden/>
    <w:uiPriority w:val="99"/>
    <w:semiHidden/>
    <w:rsid w:val="002858AE"/>
    <w:pPr>
      <w:spacing w:after="0" w:line="240" w:lineRule="auto"/>
    </w:pPr>
    <w:rPr>
      <w:rFonts w:ascii="Times New Roman" w:hAnsi="Times New Roman"/>
      <w:sz w:val="24"/>
      <w:szCs w:val="24"/>
      <w:lang w:val="en-US"/>
    </w:rPr>
  </w:style>
  <w:style w:type="character" w:customStyle="1" w:styleId="zmlenmeyenBahsetme2">
    <w:name w:val="Çözümlenmeyen Bahsetme2"/>
    <w:basedOn w:val="DefaultParagraphFont"/>
    <w:uiPriority w:val="99"/>
    <w:semiHidden/>
    <w:unhideWhenUsed/>
    <w:rsid w:val="002858AE"/>
    <w:rPr>
      <w:color w:val="605E5C"/>
      <w:shd w:val="clear" w:color="auto" w:fill="E1DFDD"/>
    </w:rPr>
  </w:style>
  <w:style w:type="character" w:customStyle="1" w:styleId="zmlenmeyenBahsetme3">
    <w:name w:val="Çözümlenmeyen Bahsetme3"/>
    <w:basedOn w:val="DefaultParagraphFont"/>
    <w:uiPriority w:val="99"/>
    <w:semiHidden/>
    <w:unhideWhenUsed/>
    <w:rsid w:val="002858AE"/>
    <w:rPr>
      <w:color w:val="605E5C"/>
      <w:shd w:val="clear" w:color="auto" w:fill="E1DFDD"/>
    </w:rPr>
  </w:style>
  <w:style w:type="character" w:customStyle="1" w:styleId="Balk1Char1">
    <w:name w:val="Başlık 1 Char1"/>
    <w:basedOn w:val="DefaultParagraphFont"/>
    <w:uiPriority w:val="9"/>
    <w:rsid w:val="002858AE"/>
    <w:rPr>
      <w:rFonts w:asciiTheme="majorHAnsi" w:eastAsiaTheme="majorEastAsia" w:hAnsiTheme="majorHAnsi" w:cstheme="majorBidi"/>
      <w:color w:val="2E74B5" w:themeColor="accent1" w:themeShade="BF"/>
      <w:sz w:val="32"/>
      <w:szCs w:val="32"/>
    </w:rPr>
  </w:style>
  <w:style w:type="character" w:customStyle="1" w:styleId="Balk2Char1">
    <w:name w:val="Başlık 2 Char1"/>
    <w:basedOn w:val="DefaultParagraphFont"/>
    <w:uiPriority w:val="9"/>
    <w:semiHidden/>
    <w:rsid w:val="002858AE"/>
    <w:rPr>
      <w:rFonts w:asciiTheme="majorHAnsi" w:eastAsiaTheme="majorEastAsia" w:hAnsiTheme="majorHAnsi" w:cstheme="majorBidi"/>
      <w:color w:val="2E74B5" w:themeColor="accent1" w:themeShade="BF"/>
      <w:sz w:val="26"/>
      <w:szCs w:val="26"/>
    </w:rPr>
  </w:style>
  <w:style w:type="character" w:customStyle="1" w:styleId="Balk3Char1">
    <w:name w:val="Başlık 3 Char1"/>
    <w:basedOn w:val="DefaultParagraphFont"/>
    <w:uiPriority w:val="9"/>
    <w:semiHidden/>
    <w:rsid w:val="002858AE"/>
    <w:rPr>
      <w:rFonts w:asciiTheme="majorHAnsi" w:eastAsiaTheme="majorEastAsia" w:hAnsiTheme="majorHAnsi" w:cstheme="majorBidi"/>
      <w:color w:val="1F4D78" w:themeColor="accent1" w:themeShade="7F"/>
      <w:sz w:val="24"/>
      <w:szCs w:val="24"/>
    </w:rPr>
  </w:style>
  <w:style w:type="character" w:customStyle="1" w:styleId="Balk4Char1">
    <w:name w:val="Başlık 4 Char1"/>
    <w:basedOn w:val="DefaultParagraphFont"/>
    <w:uiPriority w:val="9"/>
    <w:semiHidden/>
    <w:rsid w:val="002858AE"/>
    <w:rPr>
      <w:rFonts w:asciiTheme="majorHAnsi" w:eastAsiaTheme="majorEastAsia" w:hAnsiTheme="majorHAnsi" w:cstheme="majorBidi"/>
      <w:i/>
      <w:iCs/>
      <w:color w:val="2E74B5" w:themeColor="accent1" w:themeShade="BF"/>
    </w:rPr>
  </w:style>
  <w:style w:type="character" w:customStyle="1" w:styleId="Balk5Char1">
    <w:name w:val="Başlık 5 Char1"/>
    <w:basedOn w:val="DefaultParagraphFont"/>
    <w:uiPriority w:val="9"/>
    <w:semiHidden/>
    <w:rsid w:val="002858AE"/>
    <w:rPr>
      <w:rFonts w:asciiTheme="majorHAnsi" w:eastAsiaTheme="majorEastAsia" w:hAnsiTheme="majorHAnsi" w:cstheme="majorBidi"/>
      <w:color w:val="2E74B5" w:themeColor="accent1" w:themeShade="BF"/>
    </w:rPr>
  </w:style>
  <w:style w:type="character" w:customStyle="1" w:styleId="Balk6Char1">
    <w:name w:val="Başlık 6 Char1"/>
    <w:basedOn w:val="DefaultParagraphFont"/>
    <w:uiPriority w:val="9"/>
    <w:semiHidden/>
    <w:rsid w:val="002858AE"/>
    <w:rPr>
      <w:rFonts w:asciiTheme="majorHAnsi" w:eastAsiaTheme="majorEastAsia" w:hAnsiTheme="majorHAnsi" w:cstheme="majorBidi"/>
      <w:color w:val="1F4D78" w:themeColor="accent1" w:themeShade="7F"/>
    </w:rPr>
  </w:style>
  <w:style w:type="character" w:styleId="Hyperlink">
    <w:name w:val="Hyperlink"/>
    <w:basedOn w:val="DefaultParagraphFont"/>
    <w:uiPriority w:val="99"/>
    <w:unhideWhenUsed/>
    <w:rsid w:val="002858AE"/>
    <w:rPr>
      <w:color w:val="0563C1" w:themeColor="hyperlink"/>
      <w:u w:val="single"/>
    </w:rPr>
  </w:style>
  <w:style w:type="paragraph" w:styleId="FootnoteText">
    <w:name w:val="footnote text"/>
    <w:basedOn w:val="Normal"/>
    <w:link w:val="FootnoteTextChar"/>
    <w:uiPriority w:val="99"/>
    <w:semiHidden/>
    <w:unhideWhenUsed/>
    <w:rsid w:val="00285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58AE"/>
    <w:rPr>
      <w:sz w:val="20"/>
      <w:szCs w:val="20"/>
    </w:rPr>
  </w:style>
  <w:style w:type="paragraph" w:styleId="ListParagraph">
    <w:name w:val="List Paragraph"/>
    <w:basedOn w:val="Normal"/>
    <w:uiPriority w:val="34"/>
    <w:qFormat/>
    <w:rsid w:val="002858AE"/>
    <w:pPr>
      <w:ind w:left="720"/>
      <w:contextualSpacing/>
    </w:pPr>
  </w:style>
  <w:style w:type="character" w:styleId="FollowedHyperlink">
    <w:name w:val="FollowedHyperlink"/>
    <w:basedOn w:val="DefaultParagraphFont"/>
    <w:uiPriority w:val="99"/>
    <w:semiHidden/>
    <w:unhideWhenUsed/>
    <w:rsid w:val="002858AE"/>
    <w:rPr>
      <w:color w:val="954F72" w:themeColor="followedHyperlink"/>
      <w:u w:val="single"/>
    </w:rPr>
  </w:style>
  <w:style w:type="paragraph" w:styleId="Header">
    <w:name w:val="header"/>
    <w:basedOn w:val="Normal"/>
    <w:link w:val="HeaderChar"/>
    <w:uiPriority w:val="99"/>
    <w:unhideWhenUsed/>
    <w:rsid w:val="002858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2858AE"/>
  </w:style>
  <w:style w:type="paragraph" w:styleId="Footer">
    <w:name w:val="footer"/>
    <w:basedOn w:val="Normal"/>
    <w:link w:val="FooterChar"/>
    <w:uiPriority w:val="99"/>
    <w:unhideWhenUsed/>
    <w:rsid w:val="002858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58AE"/>
  </w:style>
  <w:style w:type="paragraph" w:styleId="CommentText">
    <w:name w:val="annotation text"/>
    <w:basedOn w:val="Normal"/>
    <w:link w:val="CommentTextChar"/>
    <w:uiPriority w:val="99"/>
    <w:semiHidden/>
    <w:unhideWhenUsed/>
    <w:rsid w:val="002858AE"/>
    <w:pPr>
      <w:spacing w:line="240" w:lineRule="auto"/>
    </w:pPr>
    <w:rPr>
      <w:sz w:val="20"/>
      <w:szCs w:val="20"/>
    </w:rPr>
  </w:style>
  <w:style w:type="character" w:customStyle="1" w:styleId="CommentTextChar">
    <w:name w:val="Comment Text Char"/>
    <w:basedOn w:val="DefaultParagraphFont"/>
    <w:link w:val="CommentText"/>
    <w:uiPriority w:val="99"/>
    <w:semiHidden/>
    <w:rsid w:val="002858AE"/>
    <w:rPr>
      <w:sz w:val="20"/>
      <w:szCs w:val="20"/>
    </w:rPr>
  </w:style>
  <w:style w:type="paragraph" w:styleId="CommentSubject">
    <w:name w:val="annotation subject"/>
    <w:basedOn w:val="CommentText"/>
    <w:next w:val="CommentText"/>
    <w:link w:val="CommentSubjectChar"/>
    <w:uiPriority w:val="99"/>
    <w:semiHidden/>
    <w:unhideWhenUsed/>
    <w:rsid w:val="002858AE"/>
    <w:rPr>
      <w:rFonts w:ascii="Times New Roman" w:hAnsi="Times New Roman"/>
      <w:b/>
      <w:bCs/>
      <w:color w:val="000000"/>
    </w:rPr>
  </w:style>
  <w:style w:type="character" w:customStyle="1" w:styleId="AklamaKonusuChar1">
    <w:name w:val="Açıklama Konusu Char1"/>
    <w:basedOn w:val="CommentTextChar"/>
    <w:uiPriority w:val="99"/>
    <w:semiHidden/>
    <w:rsid w:val="002858AE"/>
    <w:rPr>
      <w:b/>
      <w:bCs/>
      <w:sz w:val="20"/>
      <w:szCs w:val="20"/>
    </w:rPr>
  </w:style>
  <w:style w:type="paragraph" w:styleId="Revision">
    <w:name w:val="Revision"/>
    <w:hidden/>
    <w:uiPriority w:val="99"/>
    <w:semiHidden/>
    <w:rsid w:val="002858AE"/>
    <w:pPr>
      <w:spacing w:after="0" w:line="240" w:lineRule="auto"/>
    </w:pPr>
  </w:style>
  <w:style w:type="paragraph" w:styleId="TOC1">
    <w:name w:val="toc 1"/>
    <w:basedOn w:val="Normal"/>
    <w:next w:val="Normal"/>
    <w:autoRedefine/>
    <w:uiPriority w:val="39"/>
    <w:unhideWhenUsed/>
    <w:rsid w:val="006211E3"/>
    <w:pPr>
      <w:tabs>
        <w:tab w:val="right" w:leader="dot" w:pos="8261"/>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8631D1"/>
    <w:pPr>
      <w:tabs>
        <w:tab w:val="right" w:leader="dot" w:pos="8261"/>
      </w:tabs>
      <w:spacing w:after="100"/>
      <w:ind w:left="220"/>
    </w:pPr>
    <w:rPr>
      <w:rFonts w:ascii="Times New Roman" w:eastAsia="Times New Roman" w:hAnsi="Times New Roman" w:cs="Times New Roman"/>
      <w:noProof/>
      <w:sz w:val="24"/>
      <w:szCs w:val="24"/>
    </w:rPr>
  </w:style>
  <w:style w:type="paragraph" w:styleId="TOC3">
    <w:name w:val="toc 3"/>
    <w:basedOn w:val="Normal"/>
    <w:next w:val="Normal"/>
    <w:autoRedefine/>
    <w:uiPriority w:val="39"/>
    <w:unhideWhenUsed/>
    <w:rsid w:val="008631D1"/>
    <w:pPr>
      <w:spacing w:after="100"/>
      <w:ind w:left="440"/>
    </w:pPr>
  </w:style>
  <w:style w:type="paragraph" w:styleId="TOC4">
    <w:name w:val="toc 4"/>
    <w:basedOn w:val="Normal"/>
    <w:next w:val="Normal"/>
    <w:autoRedefine/>
    <w:uiPriority w:val="39"/>
    <w:unhideWhenUsed/>
    <w:rsid w:val="008631D1"/>
    <w:pPr>
      <w:spacing w:after="100"/>
      <w:ind w:left="660"/>
    </w:pPr>
  </w:style>
  <w:style w:type="character" w:styleId="UnresolvedMention">
    <w:name w:val="Unresolved Mention"/>
    <w:basedOn w:val="DefaultParagraphFont"/>
    <w:uiPriority w:val="99"/>
    <w:semiHidden/>
    <w:unhideWhenUsed/>
    <w:rsid w:val="00073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3904">
      <w:bodyDiv w:val="1"/>
      <w:marLeft w:val="0"/>
      <w:marRight w:val="0"/>
      <w:marTop w:val="0"/>
      <w:marBottom w:val="0"/>
      <w:divBdr>
        <w:top w:val="none" w:sz="0" w:space="0" w:color="auto"/>
        <w:left w:val="none" w:sz="0" w:space="0" w:color="auto"/>
        <w:bottom w:val="none" w:sz="0" w:space="0" w:color="auto"/>
        <w:right w:val="none" w:sz="0" w:space="0" w:color="auto"/>
      </w:divBdr>
    </w:div>
    <w:div w:id="11221860">
      <w:bodyDiv w:val="1"/>
      <w:marLeft w:val="0"/>
      <w:marRight w:val="0"/>
      <w:marTop w:val="0"/>
      <w:marBottom w:val="0"/>
      <w:divBdr>
        <w:top w:val="none" w:sz="0" w:space="0" w:color="auto"/>
        <w:left w:val="none" w:sz="0" w:space="0" w:color="auto"/>
        <w:bottom w:val="none" w:sz="0" w:space="0" w:color="auto"/>
        <w:right w:val="none" w:sz="0" w:space="0" w:color="auto"/>
      </w:divBdr>
    </w:div>
    <w:div w:id="13266341">
      <w:bodyDiv w:val="1"/>
      <w:marLeft w:val="0"/>
      <w:marRight w:val="0"/>
      <w:marTop w:val="0"/>
      <w:marBottom w:val="0"/>
      <w:divBdr>
        <w:top w:val="none" w:sz="0" w:space="0" w:color="auto"/>
        <w:left w:val="none" w:sz="0" w:space="0" w:color="auto"/>
        <w:bottom w:val="none" w:sz="0" w:space="0" w:color="auto"/>
        <w:right w:val="none" w:sz="0" w:space="0" w:color="auto"/>
      </w:divBdr>
    </w:div>
    <w:div w:id="106119450">
      <w:bodyDiv w:val="1"/>
      <w:marLeft w:val="0"/>
      <w:marRight w:val="0"/>
      <w:marTop w:val="0"/>
      <w:marBottom w:val="0"/>
      <w:divBdr>
        <w:top w:val="none" w:sz="0" w:space="0" w:color="auto"/>
        <w:left w:val="none" w:sz="0" w:space="0" w:color="auto"/>
        <w:bottom w:val="none" w:sz="0" w:space="0" w:color="auto"/>
        <w:right w:val="none" w:sz="0" w:space="0" w:color="auto"/>
      </w:divBdr>
    </w:div>
    <w:div w:id="148601489">
      <w:bodyDiv w:val="1"/>
      <w:marLeft w:val="0"/>
      <w:marRight w:val="0"/>
      <w:marTop w:val="0"/>
      <w:marBottom w:val="0"/>
      <w:divBdr>
        <w:top w:val="none" w:sz="0" w:space="0" w:color="auto"/>
        <w:left w:val="none" w:sz="0" w:space="0" w:color="auto"/>
        <w:bottom w:val="none" w:sz="0" w:space="0" w:color="auto"/>
        <w:right w:val="none" w:sz="0" w:space="0" w:color="auto"/>
      </w:divBdr>
    </w:div>
    <w:div w:id="177886738">
      <w:bodyDiv w:val="1"/>
      <w:marLeft w:val="0"/>
      <w:marRight w:val="0"/>
      <w:marTop w:val="0"/>
      <w:marBottom w:val="0"/>
      <w:divBdr>
        <w:top w:val="none" w:sz="0" w:space="0" w:color="auto"/>
        <w:left w:val="none" w:sz="0" w:space="0" w:color="auto"/>
        <w:bottom w:val="none" w:sz="0" w:space="0" w:color="auto"/>
        <w:right w:val="none" w:sz="0" w:space="0" w:color="auto"/>
      </w:divBdr>
    </w:div>
    <w:div w:id="199361658">
      <w:bodyDiv w:val="1"/>
      <w:marLeft w:val="0"/>
      <w:marRight w:val="0"/>
      <w:marTop w:val="0"/>
      <w:marBottom w:val="0"/>
      <w:divBdr>
        <w:top w:val="none" w:sz="0" w:space="0" w:color="auto"/>
        <w:left w:val="none" w:sz="0" w:space="0" w:color="auto"/>
        <w:bottom w:val="none" w:sz="0" w:space="0" w:color="auto"/>
        <w:right w:val="none" w:sz="0" w:space="0" w:color="auto"/>
      </w:divBdr>
    </w:div>
    <w:div w:id="216861963">
      <w:bodyDiv w:val="1"/>
      <w:marLeft w:val="0"/>
      <w:marRight w:val="0"/>
      <w:marTop w:val="0"/>
      <w:marBottom w:val="0"/>
      <w:divBdr>
        <w:top w:val="none" w:sz="0" w:space="0" w:color="auto"/>
        <w:left w:val="none" w:sz="0" w:space="0" w:color="auto"/>
        <w:bottom w:val="none" w:sz="0" w:space="0" w:color="auto"/>
        <w:right w:val="none" w:sz="0" w:space="0" w:color="auto"/>
      </w:divBdr>
    </w:div>
    <w:div w:id="274215172">
      <w:bodyDiv w:val="1"/>
      <w:marLeft w:val="0"/>
      <w:marRight w:val="0"/>
      <w:marTop w:val="0"/>
      <w:marBottom w:val="0"/>
      <w:divBdr>
        <w:top w:val="none" w:sz="0" w:space="0" w:color="auto"/>
        <w:left w:val="none" w:sz="0" w:space="0" w:color="auto"/>
        <w:bottom w:val="none" w:sz="0" w:space="0" w:color="auto"/>
        <w:right w:val="none" w:sz="0" w:space="0" w:color="auto"/>
      </w:divBdr>
    </w:div>
    <w:div w:id="282885086">
      <w:bodyDiv w:val="1"/>
      <w:marLeft w:val="0"/>
      <w:marRight w:val="0"/>
      <w:marTop w:val="0"/>
      <w:marBottom w:val="0"/>
      <w:divBdr>
        <w:top w:val="none" w:sz="0" w:space="0" w:color="auto"/>
        <w:left w:val="none" w:sz="0" w:space="0" w:color="auto"/>
        <w:bottom w:val="none" w:sz="0" w:space="0" w:color="auto"/>
        <w:right w:val="none" w:sz="0" w:space="0" w:color="auto"/>
      </w:divBdr>
    </w:div>
    <w:div w:id="654843411">
      <w:bodyDiv w:val="1"/>
      <w:marLeft w:val="0"/>
      <w:marRight w:val="0"/>
      <w:marTop w:val="0"/>
      <w:marBottom w:val="0"/>
      <w:divBdr>
        <w:top w:val="none" w:sz="0" w:space="0" w:color="auto"/>
        <w:left w:val="none" w:sz="0" w:space="0" w:color="auto"/>
        <w:bottom w:val="none" w:sz="0" w:space="0" w:color="auto"/>
        <w:right w:val="none" w:sz="0" w:space="0" w:color="auto"/>
      </w:divBdr>
    </w:div>
    <w:div w:id="713115568">
      <w:bodyDiv w:val="1"/>
      <w:marLeft w:val="0"/>
      <w:marRight w:val="0"/>
      <w:marTop w:val="0"/>
      <w:marBottom w:val="0"/>
      <w:divBdr>
        <w:top w:val="none" w:sz="0" w:space="0" w:color="auto"/>
        <w:left w:val="none" w:sz="0" w:space="0" w:color="auto"/>
        <w:bottom w:val="none" w:sz="0" w:space="0" w:color="auto"/>
        <w:right w:val="none" w:sz="0" w:space="0" w:color="auto"/>
      </w:divBdr>
    </w:div>
    <w:div w:id="722561087">
      <w:bodyDiv w:val="1"/>
      <w:marLeft w:val="0"/>
      <w:marRight w:val="0"/>
      <w:marTop w:val="0"/>
      <w:marBottom w:val="0"/>
      <w:divBdr>
        <w:top w:val="none" w:sz="0" w:space="0" w:color="auto"/>
        <w:left w:val="none" w:sz="0" w:space="0" w:color="auto"/>
        <w:bottom w:val="none" w:sz="0" w:space="0" w:color="auto"/>
        <w:right w:val="none" w:sz="0" w:space="0" w:color="auto"/>
      </w:divBdr>
    </w:div>
    <w:div w:id="776631911">
      <w:bodyDiv w:val="1"/>
      <w:marLeft w:val="0"/>
      <w:marRight w:val="0"/>
      <w:marTop w:val="0"/>
      <w:marBottom w:val="0"/>
      <w:divBdr>
        <w:top w:val="none" w:sz="0" w:space="0" w:color="auto"/>
        <w:left w:val="none" w:sz="0" w:space="0" w:color="auto"/>
        <w:bottom w:val="none" w:sz="0" w:space="0" w:color="auto"/>
        <w:right w:val="none" w:sz="0" w:space="0" w:color="auto"/>
      </w:divBdr>
      <w:divsChild>
        <w:div w:id="1814638276">
          <w:marLeft w:val="0"/>
          <w:marRight w:val="0"/>
          <w:marTop w:val="0"/>
          <w:marBottom w:val="0"/>
          <w:divBdr>
            <w:top w:val="none" w:sz="0" w:space="0" w:color="auto"/>
            <w:left w:val="none" w:sz="0" w:space="0" w:color="auto"/>
            <w:bottom w:val="none" w:sz="0" w:space="0" w:color="auto"/>
            <w:right w:val="none" w:sz="0" w:space="0" w:color="auto"/>
          </w:divBdr>
        </w:div>
      </w:divsChild>
    </w:div>
    <w:div w:id="974945944">
      <w:bodyDiv w:val="1"/>
      <w:marLeft w:val="0"/>
      <w:marRight w:val="0"/>
      <w:marTop w:val="0"/>
      <w:marBottom w:val="0"/>
      <w:divBdr>
        <w:top w:val="none" w:sz="0" w:space="0" w:color="auto"/>
        <w:left w:val="none" w:sz="0" w:space="0" w:color="auto"/>
        <w:bottom w:val="none" w:sz="0" w:space="0" w:color="auto"/>
        <w:right w:val="none" w:sz="0" w:space="0" w:color="auto"/>
      </w:divBdr>
    </w:div>
    <w:div w:id="1083331056">
      <w:bodyDiv w:val="1"/>
      <w:marLeft w:val="0"/>
      <w:marRight w:val="0"/>
      <w:marTop w:val="0"/>
      <w:marBottom w:val="0"/>
      <w:divBdr>
        <w:top w:val="none" w:sz="0" w:space="0" w:color="auto"/>
        <w:left w:val="none" w:sz="0" w:space="0" w:color="auto"/>
        <w:bottom w:val="none" w:sz="0" w:space="0" w:color="auto"/>
        <w:right w:val="none" w:sz="0" w:space="0" w:color="auto"/>
      </w:divBdr>
    </w:div>
    <w:div w:id="1144933861">
      <w:bodyDiv w:val="1"/>
      <w:marLeft w:val="0"/>
      <w:marRight w:val="0"/>
      <w:marTop w:val="0"/>
      <w:marBottom w:val="0"/>
      <w:divBdr>
        <w:top w:val="none" w:sz="0" w:space="0" w:color="auto"/>
        <w:left w:val="none" w:sz="0" w:space="0" w:color="auto"/>
        <w:bottom w:val="none" w:sz="0" w:space="0" w:color="auto"/>
        <w:right w:val="none" w:sz="0" w:space="0" w:color="auto"/>
      </w:divBdr>
      <w:divsChild>
        <w:div w:id="1366443685">
          <w:marLeft w:val="0"/>
          <w:marRight w:val="0"/>
          <w:marTop w:val="0"/>
          <w:marBottom w:val="0"/>
          <w:divBdr>
            <w:top w:val="none" w:sz="0" w:space="0" w:color="auto"/>
            <w:left w:val="none" w:sz="0" w:space="0" w:color="auto"/>
            <w:bottom w:val="none" w:sz="0" w:space="0" w:color="auto"/>
            <w:right w:val="none" w:sz="0" w:space="0" w:color="auto"/>
          </w:divBdr>
          <w:divsChild>
            <w:div w:id="9882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73894">
      <w:bodyDiv w:val="1"/>
      <w:marLeft w:val="0"/>
      <w:marRight w:val="0"/>
      <w:marTop w:val="0"/>
      <w:marBottom w:val="0"/>
      <w:divBdr>
        <w:top w:val="none" w:sz="0" w:space="0" w:color="auto"/>
        <w:left w:val="none" w:sz="0" w:space="0" w:color="auto"/>
        <w:bottom w:val="none" w:sz="0" w:space="0" w:color="auto"/>
        <w:right w:val="none" w:sz="0" w:space="0" w:color="auto"/>
      </w:divBdr>
    </w:div>
    <w:div w:id="1300258605">
      <w:bodyDiv w:val="1"/>
      <w:marLeft w:val="0"/>
      <w:marRight w:val="0"/>
      <w:marTop w:val="0"/>
      <w:marBottom w:val="0"/>
      <w:divBdr>
        <w:top w:val="none" w:sz="0" w:space="0" w:color="auto"/>
        <w:left w:val="none" w:sz="0" w:space="0" w:color="auto"/>
        <w:bottom w:val="none" w:sz="0" w:space="0" w:color="auto"/>
        <w:right w:val="none" w:sz="0" w:space="0" w:color="auto"/>
      </w:divBdr>
    </w:div>
    <w:div w:id="1411001234">
      <w:bodyDiv w:val="1"/>
      <w:marLeft w:val="0"/>
      <w:marRight w:val="0"/>
      <w:marTop w:val="0"/>
      <w:marBottom w:val="0"/>
      <w:divBdr>
        <w:top w:val="none" w:sz="0" w:space="0" w:color="auto"/>
        <w:left w:val="none" w:sz="0" w:space="0" w:color="auto"/>
        <w:bottom w:val="none" w:sz="0" w:space="0" w:color="auto"/>
        <w:right w:val="none" w:sz="0" w:space="0" w:color="auto"/>
      </w:divBdr>
    </w:div>
    <w:div w:id="1519927013">
      <w:bodyDiv w:val="1"/>
      <w:marLeft w:val="0"/>
      <w:marRight w:val="0"/>
      <w:marTop w:val="0"/>
      <w:marBottom w:val="0"/>
      <w:divBdr>
        <w:top w:val="none" w:sz="0" w:space="0" w:color="auto"/>
        <w:left w:val="none" w:sz="0" w:space="0" w:color="auto"/>
        <w:bottom w:val="none" w:sz="0" w:space="0" w:color="auto"/>
        <w:right w:val="none" w:sz="0" w:space="0" w:color="auto"/>
      </w:divBdr>
    </w:div>
    <w:div w:id="1531065493">
      <w:bodyDiv w:val="1"/>
      <w:marLeft w:val="0"/>
      <w:marRight w:val="0"/>
      <w:marTop w:val="0"/>
      <w:marBottom w:val="0"/>
      <w:divBdr>
        <w:top w:val="none" w:sz="0" w:space="0" w:color="auto"/>
        <w:left w:val="none" w:sz="0" w:space="0" w:color="auto"/>
        <w:bottom w:val="none" w:sz="0" w:space="0" w:color="auto"/>
        <w:right w:val="none" w:sz="0" w:space="0" w:color="auto"/>
      </w:divBdr>
    </w:div>
    <w:div w:id="187584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50D08-B75A-4584-82F3-153F92DAE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339</Pages>
  <Words>111389</Words>
  <Characters>634923</Characters>
  <Application>Microsoft Office Word</Application>
  <DocSecurity>0</DocSecurity>
  <Lines>5291</Lines>
  <Paragraphs>1489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744823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HAKKI KADI</dc:creator>
  <cp:lastModifiedBy>Office 2019</cp:lastModifiedBy>
  <cp:revision>11</cp:revision>
  <cp:lastPrinted>2023-07-24T20:00:00Z</cp:lastPrinted>
  <dcterms:created xsi:type="dcterms:W3CDTF">2023-07-24T20:00:00Z</dcterms:created>
  <dcterms:modified xsi:type="dcterms:W3CDTF">2023-07-24T20:22:00Z</dcterms:modified>
</cp:coreProperties>
</file>